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38DE" w14:textId="33F7E7A5" w:rsidR="000D36AA" w:rsidRDefault="00E93A49" w:rsidP="00E93A49">
      <w:pPr>
        <w:jc w:val="center"/>
        <w:rPr>
          <w:b/>
          <w:bCs/>
          <w:sz w:val="28"/>
          <w:szCs w:val="28"/>
          <w:u w:val="single"/>
        </w:rPr>
      </w:pPr>
      <w:r>
        <w:rPr>
          <w:noProof/>
        </w:rPr>
        <w:drawing>
          <wp:inline distT="0" distB="0" distL="0" distR="0" wp14:anchorId="42F736F1" wp14:editId="73674422">
            <wp:extent cx="2524125" cy="1257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257300"/>
                    </a:xfrm>
                    <a:prstGeom prst="rect">
                      <a:avLst/>
                    </a:prstGeom>
                    <a:noFill/>
                    <a:ln>
                      <a:noFill/>
                    </a:ln>
                  </pic:spPr>
                </pic:pic>
              </a:graphicData>
            </a:graphic>
          </wp:inline>
        </w:drawing>
      </w:r>
    </w:p>
    <w:p w14:paraId="2C3E7677" w14:textId="6402B8EA" w:rsidR="000D36AA" w:rsidRDefault="00692238" w:rsidP="008F5DE5">
      <w:pPr>
        <w:jc w:val="center"/>
        <w:rPr>
          <w:b/>
          <w:bCs/>
          <w:sz w:val="28"/>
          <w:szCs w:val="28"/>
          <w:u w:val="single"/>
        </w:rPr>
      </w:pPr>
      <w:r>
        <w:rPr>
          <w:b/>
          <w:bCs/>
          <w:noProof/>
          <w:sz w:val="28"/>
          <w:szCs w:val="28"/>
          <w:u w:val="single"/>
          <w:lang w:eastAsia="fr-FR"/>
        </w:rPr>
        <mc:AlternateContent>
          <mc:Choice Requires="wps">
            <w:drawing>
              <wp:anchor distT="0" distB="0" distL="114300" distR="114300" simplePos="0" relativeHeight="251659264" behindDoc="0" locked="0" layoutInCell="1" allowOverlap="1" wp14:anchorId="6A5A496C" wp14:editId="660E46FD">
                <wp:simplePos x="0" y="0"/>
                <wp:positionH relativeFrom="column">
                  <wp:posOffset>719455</wp:posOffset>
                </wp:positionH>
                <wp:positionV relativeFrom="paragraph">
                  <wp:posOffset>233045</wp:posOffset>
                </wp:positionV>
                <wp:extent cx="4314825" cy="1028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314825" cy="10287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E09EA" id="Rectangle 2" o:spid="_x0000_s1026" style="position:absolute;margin-left:56.65pt;margin-top:18.35pt;width:339.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" filled="f" strokecolor="#70ad47 [3209]" strokeweight="1pt"/>
            </w:pict>
          </mc:Fallback>
        </mc:AlternateContent>
      </w:r>
    </w:p>
    <w:p w14:paraId="21F18FCD" w14:textId="2F90E089" w:rsidR="00E53E85" w:rsidRPr="008F5DE5" w:rsidRDefault="00176484" w:rsidP="008F5DE5">
      <w:pPr>
        <w:jc w:val="center"/>
        <w:rPr>
          <w:b/>
          <w:bCs/>
          <w:sz w:val="28"/>
          <w:szCs w:val="28"/>
          <w:u w:val="single"/>
        </w:rPr>
      </w:pPr>
      <w:r>
        <w:rPr>
          <w:b/>
          <w:bCs/>
          <w:sz w:val="28"/>
          <w:szCs w:val="28"/>
          <w:u w:val="single"/>
        </w:rPr>
        <w:t>R</w:t>
      </w:r>
      <w:r w:rsidR="00FB2308" w:rsidRPr="008F5DE5">
        <w:rPr>
          <w:b/>
          <w:bCs/>
          <w:sz w:val="28"/>
          <w:szCs w:val="28"/>
          <w:u w:val="single"/>
        </w:rPr>
        <w:t>èglement de lotissement</w:t>
      </w:r>
    </w:p>
    <w:p w14:paraId="425A1386" w14:textId="4CCAC7E9" w:rsidR="00FB2308" w:rsidRDefault="00FB2308" w:rsidP="008F5DE5">
      <w:pPr>
        <w:jc w:val="center"/>
        <w:rPr>
          <w:b/>
          <w:bCs/>
          <w:sz w:val="28"/>
          <w:szCs w:val="28"/>
          <w:u w:val="single"/>
        </w:rPr>
      </w:pPr>
      <w:r w:rsidRPr="008F5DE5">
        <w:rPr>
          <w:b/>
          <w:bCs/>
          <w:sz w:val="28"/>
          <w:szCs w:val="28"/>
          <w:u w:val="single"/>
        </w:rPr>
        <w:t>Lotissement des Roches de Fontaine – VAGNEY</w:t>
      </w:r>
    </w:p>
    <w:p w14:paraId="1A641B1A" w14:textId="0E2E2108" w:rsidR="00692238" w:rsidRPr="00D31883" w:rsidRDefault="00692238" w:rsidP="008F5DE5">
      <w:pPr>
        <w:jc w:val="center"/>
        <w:rPr>
          <w:i/>
          <w:iCs/>
          <w:sz w:val="20"/>
          <w:szCs w:val="20"/>
        </w:rPr>
      </w:pPr>
      <w:r w:rsidRPr="00D31883">
        <w:rPr>
          <w:i/>
          <w:iCs/>
          <w:sz w:val="20"/>
          <w:szCs w:val="20"/>
        </w:rPr>
        <w:t>Version modifiée</w:t>
      </w:r>
      <w:r w:rsidR="00AC0D02" w:rsidRPr="00D31883">
        <w:rPr>
          <w:i/>
          <w:iCs/>
          <w:sz w:val="20"/>
          <w:szCs w:val="20"/>
        </w:rPr>
        <w:t xml:space="preserve"> n°</w:t>
      </w:r>
      <w:r w:rsidR="002B7FD5">
        <w:rPr>
          <w:i/>
          <w:iCs/>
          <w:sz w:val="20"/>
          <w:szCs w:val="20"/>
        </w:rPr>
        <w:t>5</w:t>
      </w:r>
      <w:r w:rsidRPr="00D31883">
        <w:rPr>
          <w:i/>
          <w:iCs/>
          <w:sz w:val="20"/>
          <w:szCs w:val="20"/>
        </w:rPr>
        <w:t xml:space="preserve"> – conseil municipal du 0</w:t>
      </w:r>
      <w:r w:rsidR="00146F47">
        <w:rPr>
          <w:i/>
          <w:iCs/>
          <w:sz w:val="20"/>
          <w:szCs w:val="20"/>
        </w:rPr>
        <w:t>8</w:t>
      </w:r>
      <w:r w:rsidRPr="00D31883">
        <w:rPr>
          <w:i/>
          <w:iCs/>
          <w:sz w:val="20"/>
          <w:szCs w:val="20"/>
        </w:rPr>
        <w:t xml:space="preserve"> </w:t>
      </w:r>
      <w:r w:rsidR="002B7FD5">
        <w:rPr>
          <w:i/>
          <w:iCs/>
          <w:sz w:val="20"/>
          <w:szCs w:val="20"/>
        </w:rPr>
        <w:t xml:space="preserve">avril </w:t>
      </w:r>
      <w:r w:rsidRPr="00D31883">
        <w:rPr>
          <w:i/>
          <w:iCs/>
          <w:sz w:val="20"/>
          <w:szCs w:val="20"/>
        </w:rPr>
        <w:t>202</w:t>
      </w:r>
      <w:r w:rsidR="00A133E9" w:rsidRPr="00D31883">
        <w:rPr>
          <w:i/>
          <w:iCs/>
          <w:sz w:val="20"/>
          <w:szCs w:val="20"/>
        </w:rPr>
        <w:t>2</w:t>
      </w:r>
    </w:p>
    <w:p w14:paraId="172C3809" w14:textId="442B509C" w:rsidR="00FB2308" w:rsidRDefault="00FB2308"/>
    <w:p w14:paraId="6B7D4CD7" w14:textId="735377A3" w:rsidR="0035537E" w:rsidRDefault="0035537E" w:rsidP="000D36AA">
      <w:pPr>
        <w:jc w:val="center"/>
      </w:pPr>
      <w:r>
        <w:t>***</w:t>
      </w:r>
    </w:p>
    <w:p w14:paraId="4A1193B7" w14:textId="77777777" w:rsidR="008F5DE5" w:rsidRDefault="00FB2308" w:rsidP="00762973">
      <w:pPr>
        <w:spacing w:after="0" w:line="240" w:lineRule="auto"/>
      </w:pPr>
      <w:r w:rsidRPr="008F5DE5">
        <w:rPr>
          <w:u w:val="single"/>
        </w:rPr>
        <w:t>Maître d’ouvrage</w:t>
      </w:r>
      <w:r>
        <w:t> :</w:t>
      </w:r>
    </w:p>
    <w:p w14:paraId="4FE629FC" w14:textId="1F5CB723" w:rsidR="00FB2308" w:rsidRDefault="00FB2308" w:rsidP="00762973">
      <w:pPr>
        <w:spacing w:after="0" w:line="240" w:lineRule="auto"/>
      </w:pPr>
      <w:r>
        <w:t>Commune de VAGNEY</w:t>
      </w:r>
    </w:p>
    <w:p w14:paraId="520F734B" w14:textId="2180DEAA" w:rsidR="00FB2308" w:rsidRDefault="00FB2308" w:rsidP="00762973">
      <w:pPr>
        <w:spacing w:after="0" w:line="240" w:lineRule="auto"/>
      </w:pPr>
      <w:r>
        <w:t>12 place</w:t>
      </w:r>
      <w:r w:rsidR="008F5DE5">
        <w:t xml:space="preserve"> Paul</w:t>
      </w:r>
      <w:r>
        <w:t xml:space="preserve"> Caritey</w:t>
      </w:r>
    </w:p>
    <w:p w14:paraId="3F42AB35" w14:textId="7AA2CCF0" w:rsidR="00FB2308" w:rsidRDefault="00FB2308" w:rsidP="00762973">
      <w:pPr>
        <w:spacing w:after="0" w:line="240" w:lineRule="auto"/>
      </w:pPr>
      <w:r>
        <w:t>88120 VAGNEY</w:t>
      </w:r>
    </w:p>
    <w:p w14:paraId="529CFDA9" w14:textId="6BBC1A94" w:rsidR="00FB2308" w:rsidRDefault="00FB2308" w:rsidP="00762973">
      <w:pPr>
        <w:spacing w:after="0" w:line="240" w:lineRule="auto"/>
      </w:pPr>
    </w:p>
    <w:p w14:paraId="1AB9356A" w14:textId="77777777" w:rsidR="00E21413" w:rsidRDefault="00FB2308" w:rsidP="00762973">
      <w:pPr>
        <w:spacing w:after="0" w:line="240" w:lineRule="auto"/>
      </w:pPr>
      <w:r w:rsidRPr="00E21413">
        <w:rPr>
          <w:u w:val="single"/>
        </w:rPr>
        <w:t>Maître d’œuvre</w:t>
      </w:r>
      <w:r>
        <w:t xml:space="preserve"> : </w:t>
      </w:r>
    </w:p>
    <w:p w14:paraId="2A5485F8" w14:textId="4EC29ACB" w:rsidR="00FB2308" w:rsidRDefault="00FB2308" w:rsidP="00762973">
      <w:pPr>
        <w:spacing w:after="0" w:line="240" w:lineRule="auto"/>
      </w:pPr>
      <w:proofErr w:type="gramStart"/>
      <w:r>
        <w:t>Cabinet Demange associés</w:t>
      </w:r>
      <w:proofErr w:type="gramEnd"/>
    </w:p>
    <w:p w14:paraId="64F2F2B7" w14:textId="3086323F" w:rsidR="00FB2308" w:rsidRDefault="00FB2308" w:rsidP="00762973">
      <w:pPr>
        <w:spacing w:after="0" w:line="240" w:lineRule="auto"/>
      </w:pPr>
      <w:r>
        <w:t>Faubourg d’Alsace</w:t>
      </w:r>
    </w:p>
    <w:p w14:paraId="274262BF" w14:textId="07887AD2" w:rsidR="00FB2308" w:rsidRDefault="00FB2308" w:rsidP="00762973">
      <w:pPr>
        <w:spacing w:after="0" w:line="240" w:lineRule="auto"/>
      </w:pPr>
      <w:r>
        <w:t>88200 REMIREMONT</w:t>
      </w:r>
    </w:p>
    <w:p w14:paraId="40F1CB67" w14:textId="1714FB4C" w:rsidR="00FB2308" w:rsidRDefault="00FB2308" w:rsidP="00762973">
      <w:pPr>
        <w:spacing w:after="0" w:line="240" w:lineRule="auto"/>
      </w:pPr>
    </w:p>
    <w:p w14:paraId="1AF95406" w14:textId="67424E40" w:rsidR="00FB2308" w:rsidRDefault="00601FA5" w:rsidP="00762973">
      <w:pPr>
        <w:spacing w:after="0" w:line="240" w:lineRule="auto"/>
      </w:pPr>
      <w:r w:rsidRPr="00601FA5">
        <w:rPr>
          <w:u w:val="single"/>
        </w:rPr>
        <w:t>Dispositions générales</w:t>
      </w:r>
      <w:r w:rsidR="00762973">
        <w:t xml:space="preserve"> : </w:t>
      </w:r>
    </w:p>
    <w:p w14:paraId="75C0E429" w14:textId="77777777" w:rsidR="00466E08" w:rsidRPr="00762973" w:rsidRDefault="00466E08" w:rsidP="00762973">
      <w:pPr>
        <w:spacing w:after="0" w:line="240" w:lineRule="auto"/>
      </w:pPr>
    </w:p>
    <w:p w14:paraId="07500DEA" w14:textId="79B0DD50" w:rsidR="006100EA" w:rsidRPr="00F26427" w:rsidRDefault="00AA7847" w:rsidP="00762973">
      <w:pPr>
        <w:spacing w:after="0" w:line="240" w:lineRule="auto"/>
        <w:jc w:val="both"/>
      </w:pPr>
      <w:r w:rsidRPr="00F26427">
        <w:t>Le présent règlement</w:t>
      </w:r>
      <w:r w:rsidR="00255CEF" w:rsidRPr="00F26427">
        <w:t>, adopté en conseil municipal du 27 mai 2021</w:t>
      </w:r>
      <w:r w:rsidR="001C3514" w:rsidRPr="00F26427">
        <w:t xml:space="preserve"> et amendé suite aux conseils municipaux des 08 juillet</w:t>
      </w:r>
      <w:r w:rsidR="00376EE9" w:rsidRPr="00F26427">
        <w:t xml:space="preserve">, </w:t>
      </w:r>
      <w:r w:rsidR="001C3514" w:rsidRPr="00F26427">
        <w:t>09 novembre 2021</w:t>
      </w:r>
      <w:r w:rsidR="00567DE2">
        <w:t xml:space="preserve">, </w:t>
      </w:r>
      <w:r w:rsidR="00376EE9" w:rsidRPr="00F26427">
        <w:t>07 mars 2022</w:t>
      </w:r>
      <w:r w:rsidR="00567DE2">
        <w:t xml:space="preserve"> et 05 avril 2022</w:t>
      </w:r>
      <w:r w:rsidR="00255CEF" w:rsidRPr="00F26427">
        <w:t>,</w:t>
      </w:r>
      <w:r w:rsidRPr="00F26427">
        <w:t xml:space="preserve"> a pour objectif d</w:t>
      </w:r>
      <w:r w:rsidR="00FA53B4">
        <w:t>’annuler</w:t>
      </w:r>
      <w:r w:rsidRPr="00F26427">
        <w:t xml:space="preserve"> </w:t>
      </w:r>
      <w:r w:rsidR="00A608D1">
        <w:t>les ajouts précédents (lots n°27 et 28) et de préciser une modalité de contrôle des massifs d’infiltration d’eaux pluviales.</w:t>
      </w:r>
      <w:r w:rsidRPr="00F26427">
        <w:t xml:space="preserve"> </w:t>
      </w:r>
    </w:p>
    <w:p w14:paraId="203FCC7A" w14:textId="5DBF6792" w:rsidR="00C33ADA" w:rsidRDefault="00AA7847" w:rsidP="00762973">
      <w:pPr>
        <w:spacing w:after="0" w:line="240" w:lineRule="auto"/>
        <w:jc w:val="both"/>
      </w:pPr>
      <w:r>
        <w:t xml:space="preserve">En sus des règles générales d’urbanisme applicables sur le territoire de la commune de </w:t>
      </w:r>
      <w:r w:rsidR="006100EA">
        <w:t>VAGNEY</w:t>
      </w:r>
      <w:r>
        <w:t>, à savoir le P</w:t>
      </w:r>
      <w:r w:rsidR="00131F29">
        <w:t xml:space="preserve">lan </w:t>
      </w:r>
      <w:r>
        <w:t>L</w:t>
      </w:r>
      <w:r w:rsidR="00131F29">
        <w:t>ocal d’</w:t>
      </w:r>
      <w:r>
        <w:t>U</w:t>
      </w:r>
      <w:r w:rsidR="00131F29">
        <w:t>rbanisme</w:t>
      </w:r>
      <w:r w:rsidR="00A82F6F">
        <w:t xml:space="preserve"> (PLU)</w:t>
      </w:r>
      <w:r>
        <w:t>, et ses modifications, à la date de délivrance des permis de construire, et des dispositions du code de l’urbanisme</w:t>
      </w:r>
      <w:r w:rsidR="00D87A96">
        <w:t xml:space="preserve"> ainsi que toute servitude d’urbanisme ou d’intérêt général</w:t>
      </w:r>
      <w:r>
        <w:t xml:space="preserve">, les divisions parcellaires et les constructions édifiées dans le périmètre du lotissement devront se conformer aux règles particulières ci-après. </w:t>
      </w:r>
    </w:p>
    <w:p w14:paraId="1D5F0DFE" w14:textId="572DF845" w:rsidR="005136B5" w:rsidRDefault="00AA7847" w:rsidP="00762973">
      <w:pPr>
        <w:spacing w:after="0" w:line="240" w:lineRule="auto"/>
        <w:jc w:val="both"/>
      </w:pPr>
      <w:r>
        <w:t>Le terrain se situe dans le</w:t>
      </w:r>
      <w:r w:rsidR="008B5532">
        <w:t>s</w:t>
      </w:r>
      <w:r>
        <w:t xml:space="preserve"> secteur</w:t>
      </w:r>
      <w:r w:rsidR="008B5532">
        <w:t>s</w:t>
      </w:r>
      <w:r>
        <w:t xml:space="preserve"> </w:t>
      </w:r>
      <w:r w:rsidR="00C33ADA">
        <w:t>1AU</w:t>
      </w:r>
      <w:r w:rsidR="008B5532">
        <w:t xml:space="preserve"> et </w:t>
      </w:r>
      <w:r w:rsidR="00D31883">
        <w:t>A</w:t>
      </w:r>
      <w:r>
        <w:t xml:space="preserve"> du PLU </w:t>
      </w:r>
      <w:r w:rsidR="003975EA">
        <w:t>de VAGNEY</w:t>
      </w:r>
      <w:r>
        <w:t xml:space="preserve">. </w:t>
      </w:r>
    </w:p>
    <w:p w14:paraId="52B778DF" w14:textId="7448868F" w:rsidR="00B352D1" w:rsidRDefault="00AA7847" w:rsidP="00762973">
      <w:pPr>
        <w:spacing w:after="0" w:line="240" w:lineRule="auto"/>
        <w:jc w:val="both"/>
      </w:pPr>
      <w:r>
        <w:t xml:space="preserve">Les demandes de Permis de Construire devront respecter les réglementations du PLU et du règlement </w:t>
      </w:r>
      <w:proofErr w:type="gramStart"/>
      <w:r>
        <w:t>de</w:t>
      </w:r>
      <w:proofErr w:type="gramEnd"/>
      <w:r>
        <w:t xml:space="preserve"> lotissement. </w:t>
      </w:r>
    </w:p>
    <w:p w14:paraId="776D04E6" w14:textId="0F924AA0" w:rsidR="005136B5" w:rsidRDefault="00AA7847" w:rsidP="00762973">
      <w:pPr>
        <w:spacing w:after="0" w:line="240" w:lineRule="auto"/>
        <w:jc w:val="both"/>
      </w:pPr>
      <w:r>
        <w:t>Ce règlement de lotissement est opposable à quiconque détient, à quel titre que ce soit, un terrain compris dans l’assiette foncière de ce lotissement</w:t>
      </w:r>
      <w:r w:rsidR="0010030B">
        <w:t xml:space="preserve">, telle que définie en annexe n°1 du présent </w:t>
      </w:r>
      <w:r w:rsidR="001348F2">
        <w:t>règlement</w:t>
      </w:r>
      <w:r>
        <w:t xml:space="preserve">. </w:t>
      </w:r>
      <w:r w:rsidR="005136B5">
        <w:t xml:space="preserve">Toute disposition non prévue à ce règlement en matière de règle de construction sur les lots en vente signifie que le règlement de zonage du PLU de la Commune s’applique pleinement. </w:t>
      </w:r>
    </w:p>
    <w:p w14:paraId="471A10BB" w14:textId="62A88E6E" w:rsidR="00601FA5" w:rsidRDefault="00AA7847" w:rsidP="00762973">
      <w:pPr>
        <w:spacing w:after="0" w:line="240" w:lineRule="auto"/>
        <w:jc w:val="both"/>
      </w:pPr>
      <w:r>
        <w:t>Il doit être rappelé dans tous les actes de succession, de vente ou de location de lot, par voie de reproduction intégrale.</w:t>
      </w:r>
    </w:p>
    <w:p w14:paraId="2835F73A" w14:textId="77777777" w:rsidR="00762973" w:rsidRDefault="00762973">
      <w:pPr>
        <w:rPr>
          <w:u w:val="single"/>
        </w:rPr>
      </w:pPr>
      <w:r>
        <w:rPr>
          <w:u w:val="single"/>
        </w:rPr>
        <w:br w:type="page"/>
      </w:r>
    </w:p>
    <w:p w14:paraId="5411D696" w14:textId="63BB6C48" w:rsidR="00900F35" w:rsidRPr="00631A37" w:rsidRDefault="003B6DDA" w:rsidP="00762973">
      <w:pPr>
        <w:spacing w:after="0" w:line="240" w:lineRule="auto"/>
        <w:rPr>
          <w:u w:val="single"/>
        </w:rPr>
      </w:pPr>
      <w:r w:rsidRPr="00631A37">
        <w:rPr>
          <w:u w:val="single"/>
        </w:rPr>
        <w:lastRenderedPageBreak/>
        <w:t xml:space="preserve">ARTICLE 1 : OCCUPATIONS ET UTILISATIONS DU SOL INTERDITES </w:t>
      </w:r>
    </w:p>
    <w:p w14:paraId="52448A2F" w14:textId="7ACA0A6A" w:rsidR="007E19F7" w:rsidRPr="00A038AD" w:rsidRDefault="007E19F7" w:rsidP="00762973">
      <w:pPr>
        <w:spacing w:after="0" w:line="240" w:lineRule="auto"/>
        <w:rPr>
          <w:color w:val="FF0000"/>
        </w:rPr>
      </w:pPr>
      <w:r>
        <w:t xml:space="preserve">Le nombre de logement par parcelle construite ne pourra dépasser </w:t>
      </w:r>
      <w:r w:rsidR="00673A01">
        <w:t>deux</w:t>
      </w:r>
      <w:r>
        <w:t xml:space="preserve">. </w:t>
      </w:r>
    </w:p>
    <w:p w14:paraId="7E69E7AB" w14:textId="60EE0420" w:rsidR="003B6DDA" w:rsidRDefault="00673A01" w:rsidP="00762973">
      <w:pPr>
        <w:spacing w:after="0" w:line="240" w:lineRule="auto"/>
      </w:pPr>
      <w:r>
        <w:t>Les bureaux</w:t>
      </w:r>
      <w:r w:rsidR="00E405BD">
        <w:t xml:space="preserve">, commerces </w:t>
      </w:r>
      <w:r>
        <w:t>et locaux professionnels</w:t>
      </w:r>
      <w:r w:rsidR="003F5CC0">
        <w:t xml:space="preserve"> (artisanat, agriculture sauf élevage)</w:t>
      </w:r>
      <w:r>
        <w:t xml:space="preserve"> y seront interdits</w:t>
      </w:r>
      <w:r w:rsidR="00F1305B">
        <w:t xml:space="preserve"> à titre principal, et ne pourront être autorisés que comme accessoire d’une maison d’habitation et dans le respect du plan local d’urbanisme. </w:t>
      </w:r>
    </w:p>
    <w:p w14:paraId="7E2B13C5" w14:textId="77777777" w:rsidR="00710DA8" w:rsidRDefault="00710DA8" w:rsidP="00762973">
      <w:pPr>
        <w:spacing w:after="0" w:line="240" w:lineRule="auto"/>
      </w:pPr>
    </w:p>
    <w:p w14:paraId="3ACBE1D7" w14:textId="32CCC6CB" w:rsidR="00AA6941" w:rsidRPr="005B6FEA" w:rsidRDefault="00B46F0F" w:rsidP="00762973">
      <w:pPr>
        <w:spacing w:after="0" w:line="240" w:lineRule="auto"/>
        <w:rPr>
          <w:u w:val="single"/>
        </w:rPr>
      </w:pPr>
      <w:r w:rsidRPr="00631A37">
        <w:rPr>
          <w:u w:val="single"/>
        </w:rPr>
        <w:t>ARTICLE 2 : OCCUPATIONS ET UTILISATIONS DU SOL SOUMISES A DES CONDITIONS PARTICULIERES</w:t>
      </w:r>
    </w:p>
    <w:p w14:paraId="3FF8791F" w14:textId="77777777" w:rsidR="00E9238D" w:rsidRDefault="00E9238D" w:rsidP="00EB7CEF">
      <w:pPr>
        <w:spacing w:after="0" w:line="240" w:lineRule="auto"/>
        <w:jc w:val="both"/>
        <w:rPr>
          <w:u w:val="single"/>
        </w:rPr>
      </w:pPr>
    </w:p>
    <w:p w14:paraId="588E45CA" w14:textId="0A3F7858" w:rsidR="00EB7CEF" w:rsidRDefault="00EB7CEF" w:rsidP="00EB7CEF">
      <w:pPr>
        <w:spacing w:after="0" w:line="240" w:lineRule="auto"/>
        <w:jc w:val="both"/>
      </w:pPr>
      <w:r>
        <w:rPr>
          <w:u w:val="single"/>
        </w:rPr>
        <w:t>Collecte et t</w:t>
      </w:r>
      <w:r w:rsidRPr="00EB7CEF">
        <w:rPr>
          <w:u w:val="single"/>
        </w:rPr>
        <w:t>raitement des eaux pluviales</w:t>
      </w:r>
      <w:r>
        <w:rPr>
          <w:u w:val="single"/>
        </w:rPr>
        <w:t xml:space="preserve"> résiduelles après infiltration sur parcelle</w:t>
      </w:r>
      <w:r>
        <w:t xml:space="preserve"> : </w:t>
      </w:r>
    </w:p>
    <w:p w14:paraId="01C282A9" w14:textId="49346B69" w:rsidR="00292234" w:rsidRDefault="00292234" w:rsidP="00292234">
      <w:pPr>
        <w:spacing w:after="0" w:line="240" w:lineRule="auto"/>
        <w:jc w:val="both"/>
      </w:pPr>
      <w:r>
        <w:t>Pour l’ensemble des lots du lotissement, un massif d’infiltration d</w:t>
      </w:r>
      <w:r w:rsidR="00A371E5">
        <w:t>’un</w:t>
      </w:r>
      <w:r>
        <w:t>e</w:t>
      </w:r>
      <w:r w:rsidR="00A371E5">
        <w:t xml:space="preserve"> surface minimale de</w:t>
      </w:r>
      <w:r>
        <w:t xml:space="preserve"> 75m²</w:t>
      </w:r>
      <w:r w:rsidR="00A371E5">
        <w:t xml:space="preserve"> selon la surface totale du projet</w:t>
      </w:r>
      <w:r>
        <w:t xml:space="preserve"> </w:t>
      </w:r>
      <w:r w:rsidR="00571BC0">
        <w:t xml:space="preserve">(50m² en cas de garage de 25m²) </w:t>
      </w:r>
      <w:r>
        <w:t>est à prévoir sous la zone de stationnement</w:t>
      </w:r>
      <w:r w:rsidRPr="00292234">
        <w:rPr>
          <w:color w:val="FF0000"/>
        </w:rPr>
        <w:t xml:space="preserve"> </w:t>
      </w:r>
      <w:r>
        <w:t xml:space="preserve">de chaque parcelle avec trop plein rejeté vers la tranchée sous voirie. </w:t>
      </w:r>
      <w:r w:rsidR="00A13E6B">
        <w:t xml:space="preserve">Un autre lieu d’infiltration pourra cependant être proposé par le pétitionnaire au moment du permis de construire, à mentionner dans le projet de construction. </w:t>
      </w:r>
      <w:r w:rsidR="008E717E">
        <w:t xml:space="preserve">Un schéma de principe est fourni en annexe du présent règlement. </w:t>
      </w:r>
    </w:p>
    <w:p w14:paraId="1DCD2209" w14:textId="77777777" w:rsidR="00410C46" w:rsidRDefault="00410C46" w:rsidP="00292234">
      <w:pPr>
        <w:spacing w:after="0" w:line="240" w:lineRule="auto"/>
        <w:jc w:val="both"/>
      </w:pPr>
    </w:p>
    <w:p w14:paraId="1E1B3269" w14:textId="045C7FD9" w:rsidR="00292234" w:rsidRPr="002F4416" w:rsidRDefault="00292234" w:rsidP="00292234">
      <w:pPr>
        <w:spacing w:after="0" w:line="240" w:lineRule="auto"/>
        <w:jc w:val="both"/>
      </w:pPr>
      <w:r w:rsidRPr="002F4416">
        <w:t xml:space="preserve">Ces travaux seront intégrés lors du permis de construire et feront l’objet d’un contrôle de conformité des travaux par </w:t>
      </w:r>
      <w:r w:rsidR="00EC63C0">
        <w:t xml:space="preserve">le </w:t>
      </w:r>
      <w:r w:rsidRPr="002F4416">
        <w:t xml:space="preserve">bureau d’étude extérieur </w:t>
      </w:r>
      <w:r w:rsidR="00EC63C0">
        <w:t xml:space="preserve">« Cabinet Demange », </w:t>
      </w:r>
      <w:r w:rsidR="009800D6" w:rsidRPr="002F4416">
        <w:t xml:space="preserve">à la charge du pétitionnaire. </w:t>
      </w:r>
      <w:r w:rsidR="002F4416" w:rsidRPr="002F4416">
        <w:t>La zone d’infiltration devra être clairement identifiée sur plan.</w:t>
      </w:r>
    </w:p>
    <w:p w14:paraId="43A2B584" w14:textId="77777777" w:rsidR="008B78BD" w:rsidRDefault="008B78BD" w:rsidP="008B78BD">
      <w:pPr>
        <w:spacing w:after="0" w:line="240" w:lineRule="auto"/>
        <w:jc w:val="both"/>
      </w:pPr>
    </w:p>
    <w:p w14:paraId="3485EFD8" w14:textId="7F9D0848" w:rsidR="00EB7CEF" w:rsidRPr="00F26427" w:rsidRDefault="00EB7CEF" w:rsidP="008B78BD">
      <w:pPr>
        <w:spacing w:after="0" w:line="240" w:lineRule="auto"/>
        <w:jc w:val="both"/>
      </w:pPr>
      <w:r w:rsidRPr="00F26427">
        <w:t>Pour les lots n° 24,25,26</w:t>
      </w:r>
      <w:r w:rsidR="008B78BD" w:rsidRPr="00F26427">
        <w:t xml:space="preserve"> </w:t>
      </w:r>
      <w:r w:rsidRPr="00F26427">
        <w:t>situés au Sud</w:t>
      </w:r>
      <w:r w:rsidR="008B78BD" w:rsidRPr="00F26427">
        <w:t>-</w:t>
      </w:r>
      <w:r w:rsidRPr="00F26427">
        <w:t xml:space="preserve">Ouest du Lotissement, des cuves fermées sont proposées avec un réseau de collecte pour </w:t>
      </w:r>
      <w:proofErr w:type="gramStart"/>
      <w:r w:rsidRPr="00F26427">
        <w:t>les trop-plein</w:t>
      </w:r>
      <w:proofErr w:type="gramEnd"/>
      <w:r w:rsidRPr="00F26427">
        <w:t xml:space="preserve"> vers fossé dédié en bas des parcelles. Le suivi des cuves relèvera de la Commune, mais le bon état des conduites qui y mèneront devra être assuré par les propriétaires respectifs.  </w:t>
      </w:r>
      <w:r w:rsidR="003566ED" w:rsidRPr="00F26427">
        <w:t>Un c</w:t>
      </w:r>
      <w:r w:rsidRPr="00F26427">
        <w:t xml:space="preserve">ontrôle au moment de la réalisation </w:t>
      </w:r>
      <w:r w:rsidR="003566ED" w:rsidRPr="00F26427">
        <w:t xml:space="preserve">sera réalisé par la Commune </w:t>
      </w:r>
      <w:r w:rsidRPr="00F26427">
        <w:t xml:space="preserve">avant </w:t>
      </w:r>
      <w:r w:rsidR="003566ED" w:rsidRPr="00F26427">
        <w:t xml:space="preserve">rebouchage </w:t>
      </w:r>
      <w:r w:rsidRPr="00F26427">
        <w:t>de la tranchée</w:t>
      </w:r>
      <w:r w:rsidR="003566ED" w:rsidRPr="00F26427">
        <w:t>.</w:t>
      </w:r>
      <w:r w:rsidR="004E3BC3" w:rsidRPr="00F26427">
        <w:t xml:space="preserve"> Les réseaux menant à la cuve seront autorisés par servitude de passage.</w:t>
      </w:r>
    </w:p>
    <w:p w14:paraId="73F4884E" w14:textId="77777777" w:rsidR="005769BA" w:rsidRDefault="005769BA" w:rsidP="00762973">
      <w:pPr>
        <w:spacing w:after="0" w:line="240" w:lineRule="auto"/>
      </w:pPr>
    </w:p>
    <w:p w14:paraId="296F2E92" w14:textId="1C9FF605" w:rsidR="005769BA" w:rsidRPr="00840263" w:rsidRDefault="00B46F0F" w:rsidP="00762973">
      <w:pPr>
        <w:spacing w:after="0" w:line="240" w:lineRule="auto"/>
        <w:rPr>
          <w:u w:val="single"/>
        </w:rPr>
      </w:pPr>
      <w:r w:rsidRPr="00840263">
        <w:rPr>
          <w:u w:val="single"/>
        </w:rPr>
        <w:t xml:space="preserve">ARTICLE </w:t>
      </w:r>
      <w:r w:rsidR="00840263">
        <w:rPr>
          <w:u w:val="single"/>
        </w:rPr>
        <w:t>3</w:t>
      </w:r>
      <w:r w:rsidRPr="00840263">
        <w:rPr>
          <w:u w:val="single"/>
        </w:rPr>
        <w:t xml:space="preserve"> : DESSERTE PAR LES RESEAUX </w:t>
      </w:r>
    </w:p>
    <w:p w14:paraId="653BE009" w14:textId="2392AA2B" w:rsidR="00A02CA5" w:rsidRDefault="0066749C" w:rsidP="00A02CA5">
      <w:pPr>
        <w:spacing w:after="0" w:line="240" w:lineRule="auto"/>
        <w:jc w:val="both"/>
      </w:pPr>
      <w:r>
        <w:t xml:space="preserve">Le </w:t>
      </w:r>
      <w:r w:rsidR="00A02CA5">
        <w:t xml:space="preserve">lotissement créé par la Commune de VAGNEY prévoit la viabilisation de l’ensemble des lots permettant des conditions de construction complète avec accès aux réseaux suivants : </w:t>
      </w:r>
    </w:p>
    <w:p w14:paraId="4C96FFBF" w14:textId="37E0C23D" w:rsidR="00A02CA5" w:rsidRDefault="005F4A34" w:rsidP="005F4A34">
      <w:pPr>
        <w:pStyle w:val="Paragraphedeliste"/>
        <w:numPr>
          <w:ilvl w:val="0"/>
          <w:numId w:val="2"/>
        </w:numPr>
        <w:spacing w:after="0" w:line="240" w:lineRule="auto"/>
      </w:pPr>
      <w:r>
        <w:t>Voirie ;</w:t>
      </w:r>
    </w:p>
    <w:p w14:paraId="4AA1CB69" w14:textId="02E3B2BC" w:rsidR="005F4A34" w:rsidRDefault="005F4A34" w:rsidP="005F4A34">
      <w:pPr>
        <w:pStyle w:val="Paragraphedeliste"/>
        <w:numPr>
          <w:ilvl w:val="0"/>
          <w:numId w:val="2"/>
        </w:numPr>
        <w:spacing w:after="0" w:line="240" w:lineRule="auto"/>
      </w:pPr>
      <w:r>
        <w:t>Gaz de ville ;</w:t>
      </w:r>
    </w:p>
    <w:p w14:paraId="744C8E6A" w14:textId="1DCA2B95" w:rsidR="005F4A34" w:rsidRDefault="005F4A34" w:rsidP="005F4A34">
      <w:pPr>
        <w:pStyle w:val="Paragraphedeliste"/>
        <w:numPr>
          <w:ilvl w:val="0"/>
          <w:numId w:val="2"/>
        </w:numPr>
        <w:spacing w:after="0" w:line="240" w:lineRule="auto"/>
      </w:pPr>
      <w:r>
        <w:t>Télécommunications ;</w:t>
      </w:r>
    </w:p>
    <w:p w14:paraId="6FF6BE34" w14:textId="5B663BFB" w:rsidR="005F4A34" w:rsidRDefault="001F4EFC" w:rsidP="005F4A34">
      <w:pPr>
        <w:pStyle w:val="Paragraphedeliste"/>
        <w:numPr>
          <w:ilvl w:val="0"/>
          <w:numId w:val="2"/>
        </w:numPr>
        <w:spacing w:after="0" w:line="240" w:lineRule="auto"/>
      </w:pPr>
      <w:r>
        <w:t>Electricité ;</w:t>
      </w:r>
    </w:p>
    <w:p w14:paraId="7C17FCF3" w14:textId="0C23F5BD" w:rsidR="001F4EFC" w:rsidRDefault="001F4EFC" w:rsidP="005F4A34">
      <w:pPr>
        <w:pStyle w:val="Paragraphedeliste"/>
        <w:numPr>
          <w:ilvl w:val="0"/>
          <w:numId w:val="2"/>
        </w:numPr>
        <w:spacing w:after="0" w:line="240" w:lineRule="auto"/>
      </w:pPr>
      <w:r>
        <w:t>Eclairage public ;</w:t>
      </w:r>
    </w:p>
    <w:p w14:paraId="5A970197" w14:textId="491BCD2E" w:rsidR="001F4EFC" w:rsidRDefault="0040412A" w:rsidP="005F4A34">
      <w:pPr>
        <w:pStyle w:val="Paragraphedeliste"/>
        <w:numPr>
          <w:ilvl w:val="0"/>
          <w:numId w:val="2"/>
        </w:numPr>
        <w:spacing w:after="0" w:line="240" w:lineRule="auto"/>
      </w:pPr>
      <w:r>
        <w:t>Eau potable ;</w:t>
      </w:r>
    </w:p>
    <w:p w14:paraId="4A9B2ABD" w14:textId="71247014" w:rsidR="0040412A" w:rsidRDefault="0040412A" w:rsidP="005F4A34">
      <w:pPr>
        <w:pStyle w:val="Paragraphedeliste"/>
        <w:numPr>
          <w:ilvl w:val="0"/>
          <w:numId w:val="2"/>
        </w:numPr>
        <w:spacing w:after="0" w:line="240" w:lineRule="auto"/>
      </w:pPr>
      <w:r>
        <w:t>Traitement des eaux usées ;</w:t>
      </w:r>
    </w:p>
    <w:p w14:paraId="1DEC93BF" w14:textId="4E26CA6D" w:rsidR="0040412A" w:rsidRDefault="0040412A" w:rsidP="005F4A34">
      <w:pPr>
        <w:pStyle w:val="Paragraphedeliste"/>
        <w:numPr>
          <w:ilvl w:val="0"/>
          <w:numId w:val="2"/>
        </w:numPr>
        <w:spacing w:after="0" w:line="240" w:lineRule="auto"/>
      </w:pPr>
      <w:r>
        <w:t>Collecte des eaux pluviales</w:t>
      </w:r>
      <w:r w:rsidR="00E971B1">
        <w:t xml:space="preserve"> résiduelles</w:t>
      </w:r>
      <w:r>
        <w:t xml:space="preserve">. </w:t>
      </w:r>
    </w:p>
    <w:p w14:paraId="02128A89" w14:textId="1C5959CD" w:rsidR="00A02CA5" w:rsidRDefault="00A02CA5" w:rsidP="00762973">
      <w:pPr>
        <w:spacing w:after="0" w:line="240" w:lineRule="auto"/>
      </w:pPr>
    </w:p>
    <w:p w14:paraId="0F2283CB" w14:textId="0A57F48C" w:rsidR="00840263" w:rsidRDefault="00A02CA5" w:rsidP="00762973">
      <w:pPr>
        <w:spacing w:after="0" w:line="240" w:lineRule="auto"/>
      </w:pPr>
      <w:r>
        <w:t>L’annexe n°</w:t>
      </w:r>
      <w:r w:rsidR="00DF2E51">
        <w:t>1</w:t>
      </w:r>
      <w:r>
        <w:t xml:space="preserve"> détaille </w:t>
      </w:r>
      <w:r w:rsidR="0023490C">
        <w:t>le branchement</w:t>
      </w:r>
      <w:r>
        <w:t xml:space="preserve"> des différents réseaux qui devra être strictement respectée lors de la construction des lots par leurs propriétaires.</w:t>
      </w:r>
    </w:p>
    <w:p w14:paraId="327FE195" w14:textId="77777777" w:rsidR="00410C46" w:rsidRDefault="00410C46" w:rsidP="00762973">
      <w:pPr>
        <w:spacing w:after="0" w:line="240" w:lineRule="auto"/>
      </w:pPr>
    </w:p>
    <w:p w14:paraId="325555DA" w14:textId="1E497D4D" w:rsidR="003C479D" w:rsidRDefault="003C479D" w:rsidP="003C479D">
      <w:pPr>
        <w:spacing w:after="0" w:line="240" w:lineRule="auto"/>
        <w:jc w:val="both"/>
      </w:pPr>
      <w:r>
        <w:t>L</w:t>
      </w:r>
      <w:r w:rsidR="00C71B8E">
        <w:t xml:space="preserve">es </w:t>
      </w:r>
      <w:r>
        <w:t>accès voirie situé</w:t>
      </w:r>
      <w:r w:rsidR="00C71B8E">
        <w:t>s</w:t>
      </w:r>
      <w:r>
        <w:t xml:space="preserve"> au Nord</w:t>
      </w:r>
      <w:r w:rsidR="00C71B8E">
        <w:t>-</w:t>
      </w:r>
      <w:r>
        <w:t>Est</w:t>
      </w:r>
      <w:r w:rsidR="00CD0BD6">
        <w:t xml:space="preserve"> </w:t>
      </w:r>
      <w:r w:rsidR="00C71B8E" w:rsidRPr="00C71B8E">
        <w:t xml:space="preserve">et </w:t>
      </w:r>
      <w:r w:rsidR="00CD0BD6" w:rsidRPr="00C71B8E">
        <w:t>Nord</w:t>
      </w:r>
      <w:r w:rsidR="00C71B8E" w:rsidRPr="00C71B8E">
        <w:t>-</w:t>
      </w:r>
      <w:r w:rsidR="00CD0BD6" w:rsidRPr="00C71B8E">
        <w:t>Ouest</w:t>
      </w:r>
      <w:r w:rsidR="00CD0BD6">
        <w:rPr>
          <w:color w:val="FF0000"/>
        </w:rPr>
        <w:t xml:space="preserve"> </w:t>
      </w:r>
      <w:r>
        <w:t xml:space="preserve">du lotissement devra être laissé libre d’accès en toute circonstance dans le respect de l’orientation d’aménagement du PLU. </w:t>
      </w:r>
    </w:p>
    <w:p w14:paraId="20624A78" w14:textId="77777777" w:rsidR="00602D85" w:rsidRDefault="00602D85" w:rsidP="00DF52F5">
      <w:pPr>
        <w:spacing w:after="0" w:line="240" w:lineRule="auto"/>
        <w:jc w:val="both"/>
        <w:rPr>
          <w:sz w:val="24"/>
          <w:szCs w:val="24"/>
        </w:rPr>
      </w:pPr>
    </w:p>
    <w:p w14:paraId="2646C295" w14:textId="39937B45" w:rsidR="00DF52F5" w:rsidRPr="00410C46" w:rsidRDefault="00DF52F5" w:rsidP="00410C46">
      <w:pPr>
        <w:spacing w:after="0" w:line="240" w:lineRule="auto"/>
        <w:jc w:val="both"/>
        <w:rPr>
          <w:color w:val="000000" w:themeColor="text1"/>
        </w:rPr>
      </w:pPr>
      <w:r w:rsidRPr="00BB3DF0">
        <w:rPr>
          <w:color w:val="000000" w:themeColor="text1"/>
        </w:rPr>
        <w:t xml:space="preserve">Les lots proposés à la vente sont viabilisés, à savoir pourvus des réseaux d’eau potable et d’eaux usées, lignes de téléphone et d’alimentation électrique. Les branchements définitifs restent à la charge des acquéreurs. </w:t>
      </w:r>
      <w:r w:rsidR="00305DA1" w:rsidRPr="00BB3DF0">
        <w:rPr>
          <w:color w:val="000000" w:themeColor="text1"/>
        </w:rPr>
        <w:t xml:space="preserve">Les lots seront bornés une fois les travaux de viabilisation achevés. </w:t>
      </w:r>
      <w:r w:rsidR="00CA6B07" w:rsidRPr="00BB3DF0">
        <w:rPr>
          <w:color w:val="000000" w:themeColor="text1"/>
        </w:rPr>
        <w:t xml:space="preserve">Sur les lots en limite de zone 1AU au sens du zonage du PLU, </w:t>
      </w:r>
      <w:r w:rsidR="000C6BFC" w:rsidRPr="00BB3DF0">
        <w:rPr>
          <w:color w:val="000000" w:themeColor="text1"/>
        </w:rPr>
        <w:t>le plan de</w:t>
      </w:r>
      <w:r w:rsidR="00CA6B07" w:rsidRPr="00BB3DF0">
        <w:rPr>
          <w:color w:val="000000" w:themeColor="text1"/>
        </w:rPr>
        <w:t xml:space="preserve"> bornage </w:t>
      </w:r>
      <w:r w:rsidR="000C6BFC" w:rsidRPr="00BB3DF0">
        <w:rPr>
          <w:color w:val="000000" w:themeColor="text1"/>
        </w:rPr>
        <w:t xml:space="preserve">indiquera </w:t>
      </w:r>
      <w:r w:rsidR="00CA6B07" w:rsidRPr="00BB3DF0">
        <w:rPr>
          <w:color w:val="000000" w:themeColor="text1"/>
        </w:rPr>
        <w:t xml:space="preserve">la limite de la zone </w:t>
      </w:r>
      <w:r w:rsidR="000C6BFC" w:rsidRPr="00BB3DF0">
        <w:rPr>
          <w:color w:val="000000" w:themeColor="text1"/>
        </w:rPr>
        <w:t xml:space="preserve">avec cotes </w:t>
      </w:r>
      <w:r w:rsidR="00410C46" w:rsidRPr="00BB3DF0">
        <w:rPr>
          <w:color w:val="000000" w:themeColor="text1"/>
        </w:rPr>
        <w:t xml:space="preserve">depuis les limites de propriété afin de définir la limite de constructibilité des terrains concernés. Elle devra être </w:t>
      </w:r>
      <w:r w:rsidR="00CF4606" w:rsidRPr="00BB3DF0">
        <w:rPr>
          <w:color w:val="000000" w:themeColor="text1"/>
        </w:rPr>
        <w:t>rigoureusement respecté</w:t>
      </w:r>
      <w:r w:rsidR="00410C46" w:rsidRPr="00BB3DF0">
        <w:rPr>
          <w:color w:val="000000" w:themeColor="text1"/>
        </w:rPr>
        <w:t>e</w:t>
      </w:r>
      <w:r w:rsidR="00CF4606" w:rsidRPr="00BB3DF0">
        <w:rPr>
          <w:color w:val="000000" w:themeColor="text1"/>
        </w:rPr>
        <w:t>.</w:t>
      </w:r>
      <w:r w:rsidR="00410C46" w:rsidRPr="00BB3DF0">
        <w:rPr>
          <w:color w:val="000000" w:themeColor="text1"/>
        </w:rPr>
        <w:t xml:space="preserve"> Le plan de la zone en question est joint en annexe n°</w:t>
      </w:r>
      <w:r w:rsidR="0023490C">
        <w:rPr>
          <w:color w:val="000000" w:themeColor="text1"/>
        </w:rPr>
        <w:t>1</w:t>
      </w:r>
      <w:r w:rsidR="00410C46" w:rsidRPr="00BB3DF0">
        <w:rPr>
          <w:color w:val="000000" w:themeColor="text1"/>
        </w:rPr>
        <w:t xml:space="preserve"> du présent règlement.</w:t>
      </w:r>
      <w:r w:rsidR="00CF4606" w:rsidRPr="00410C46">
        <w:rPr>
          <w:color w:val="000000" w:themeColor="text1"/>
        </w:rPr>
        <w:t xml:space="preserve"> </w:t>
      </w:r>
    </w:p>
    <w:p w14:paraId="0689C662" w14:textId="5B8A5753" w:rsidR="00410C46" w:rsidRDefault="00410C46" w:rsidP="00410C46">
      <w:pPr>
        <w:spacing w:after="0" w:line="240" w:lineRule="auto"/>
        <w:jc w:val="both"/>
        <w:rPr>
          <w:color w:val="FF0000"/>
        </w:rPr>
      </w:pPr>
    </w:p>
    <w:p w14:paraId="6544E4D7" w14:textId="0DE1DFD2" w:rsidR="00BB3DF0" w:rsidRPr="009D47C7" w:rsidRDefault="00BB3DF0" w:rsidP="00410C46">
      <w:pPr>
        <w:spacing w:after="0" w:line="240" w:lineRule="auto"/>
        <w:jc w:val="both"/>
      </w:pPr>
      <w:r w:rsidRPr="009D47C7">
        <w:lastRenderedPageBreak/>
        <w:t xml:space="preserve">Les frais de branchements des parcelles aux différents réseaux (eau, assainissement, pluvial, électricité, télécoms, gaz) restent à la charge de chaque propriétaire dans le cadre de son projet de construction. </w:t>
      </w:r>
      <w:r w:rsidRPr="009D47C7">
        <w:br/>
        <w:t xml:space="preserve">A titre indicatif, les tarifs de raccordement aux réseaux communaux d’eau et d’assainissement sont les suivants : </w:t>
      </w:r>
    </w:p>
    <w:p w14:paraId="2D5427B9" w14:textId="77777777" w:rsidR="009D47C7" w:rsidRPr="009D47C7" w:rsidRDefault="009D47C7" w:rsidP="00410C46">
      <w:pPr>
        <w:spacing w:after="0" w:line="240" w:lineRule="auto"/>
        <w:jc w:val="both"/>
      </w:pPr>
    </w:p>
    <w:tbl>
      <w:tblPr>
        <w:tblStyle w:val="Grilledutableau"/>
        <w:tblW w:w="0" w:type="auto"/>
        <w:tblLook w:val="04A0" w:firstRow="1" w:lastRow="0" w:firstColumn="1" w:lastColumn="0" w:noHBand="0" w:noVBand="1"/>
      </w:tblPr>
      <w:tblGrid>
        <w:gridCol w:w="4531"/>
        <w:gridCol w:w="4531"/>
      </w:tblGrid>
      <w:tr w:rsidR="009D47C7" w:rsidRPr="009D47C7" w14:paraId="2BD3DF9E" w14:textId="77777777" w:rsidTr="009D47C7">
        <w:tc>
          <w:tcPr>
            <w:tcW w:w="4531" w:type="dxa"/>
          </w:tcPr>
          <w:p w14:paraId="2ABEFF9D" w14:textId="3A316F73" w:rsidR="009D47C7" w:rsidRPr="009D47C7" w:rsidRDefault="009D47C7" w:rsidP="00410C46">
            <w:pPr>
              <w:jc w:val="both"/>
              <w:rPr>
                <w:b/>
                <w:bCs/>
              </w:rPr>
            </w:pPr>
            <w:r w:rsidRPr="009D47C7">
              <w:rPr>
                <w:b/>
                <w:bCs/>
              </w:rPr>
              <w:t>Service</w:t>
            </w:r>
          </w:p>
        </w:tc>
        <w:tc>
          <w:tcPr>
            <w:tcW w:w="4531" w:type="dxa"/>
          </w:tcPr>
          <w:p w14:paraId="7C60E23B" w14:textId="08793069" w:rsidR="009D47C7" w:rsidRPr="009D47C7" w:rsidRDefault="009D47C7" w:rsidP="00410C46">
            <w:pPr>
              <w:jc w:val="both"/>
              <w:rPr>
                <w:b/>
                <w:bCs/>
              </w:rPr>
            </w:pPr>
            <w:r w:rsidRPr="009D47C7">
              <w:rPr>
                <w:b/>
                <w:bCs/>
              </w:rPr>
              <w:t xml:space="preserve">Prix de raccordement en € </w:t>
            </w:r>
          </w:p>
        </w:tc>
      </w:tr>
      <w:tr w:rsidR="009D47C7" w:rsidRPr="009D47C7" w14:paraId="5FA991DA" w14:textId="77777777" w:rsidTr="009D47C7">
        <w:tc>
          <w:tcPr>
            <w:tcW w:w="4531" w:type="dxa"/>
          </w:tcPr>
          <w:p w14:paraId="7A367B19" w14:textId="0FA3D859" w:rsidR="009D47C7" w:rsidRPr="009D47C7" w:rsidRDefault="009D47C7" w:rsidP="00410C46">
            <w:pPr>
              <w:jc w:val="both"/>
            </w:pPr>
            <w:r w:rsidRPr="009D47C7">
              <w:t>Assainissement (pluvial compris)</w:t>
            </w:r>
          </w:p>
        </w:tc>
        <w:tc>
          <w:tcPr>
            <w:tcW w:w="4531" w:type="dxa"/>
          </w:tcPr>
          <w:p w14:paraId="171D71F5" w14:textId="58346DCD" w:rsidR="009D47C7" w:rsidRPr="009D47C7" w:rsidRDefault="009D47C7" w:rsidP="00410C46">
            <w:pPr>
              <w:jc w:val="both"/>
            </w:pPr>
            <w:r w:rsidRPr="009D47C7">
              <w:t>1 050,00 € TTC</w:t>
            </w:r>
          </w:p>
        </w:tc>
      </w:tr>
      <w:tr w:rsidR="009D47C7" w:rsidRPr="009D47C7" w14:paraId="6123F060" w14:textId="77777777" w:rsidTr="009D47C7">
        <w:tc>
          <w:tcPr>
            <w:tcW w:w="4531" w:type="dxa"/>
          </w:tcPr>
          <w:p w14:paraId="074D4DD6" w14:textId="00C27910" w:rsidR="009D47C7" w:rsidRPr="009D47C7" w:rsidRDefault="009D47C7" w:rsidP="00410C46">
            <w:pPr>
              <w:jc w:val="both"/>
            </w:pPr>
            <w:r w:rsidRPr="009D47C7">
              <w:t xml:space="preserve">Eau potable </w:t>
            </w:r>
          </w:p>
        </w:tc>
        <w:tc>
          <w:tcPr>
            <w:tcW w:w="4531" w:type="dxa"/>
          </w:tcPr>
          <w:p w14:paraId="3BAFC4F6" w14:textId="3E6E8C71" w:rsidR="009D47C7" w:rsidRPr="009D47C7" w:rsidRDefault="009D47C7" w:rsidP="00410C46">
            <w:pPr>
              <w:jc w:val="both"/>
            </w:pPr>
            <w:r w:rsidRPr="009D47C7">
              <w:t>700,00 € HT</w:t>
            </w:r>
          </w:p>
        </w:tc>
      </w:tr>
    </w:tbl>
    <w:p w14:paraId="28F10A86" w14:textId="77777777" w:rsidR="00BB3DF0" w:rsidRPr="00410C46" w:rsidRDefault="00BB3DF0" w:rsidP="00410C46">
      <w:pPr>
        <w:spacing w:after="0" w:line="240" w:lineRule="auto"/>
        <w:jc w:val="both"/>
        <w:rPr>
          <w:color w:val="FF0000"/>
        </w:rPr>
      </w:pPr>
    </w:p>
    <w:p w14:paraId="69AAD528" w14:textId="5780A8CC" w:rsidR="00900F35" w:rsidRPr="00631A37" w:rsidRDefault="00B46F0F" w:rsidP="003B5E5A">
      <w:pPr>
        <w:spacing w:after="0" w:line="240" w:lineRule="auto"/>
        <w:jc w:val="both"/>
        <w:rPr>
          <w:u w:val="single"/>
        </w:rPr>
      </w:pPr>
      <w:r w:rsidRPr="00631A37">
        <w:rPr>
          <w:u w:val="single"/>
        </w:rPr>
        <w:t xml:space="preserve">ARTICLE </w:t>
      </w:r>
      <w:r w:rsidR="00C53471">
        <w:rPr>
          <w:u w:val="single"/>
        </w:rPr>
        <w:t>4</w:t>
      </w:r>
      <w:r w:rsidRPr="00631A37">
        <w:rPr>
          <w:u w:val="single"/>
        </w:rPr>
        <w:t xml:space="preserve"> : </w:t>
      </w:r>
      <w:r w:rsidR="0089794B">
        <w:rPr>
          <w:u w:val="single"/>
        </w:rPr>
        <w:t>DIVISION</w:t>
      </w:r>
      <w:r w:rsidRPr="00631A37">
        <w:rPr>
          <w:u w:val="single"/>
        </w:rPr>
        <w:t xml:space="preserve"> DES TERRAINS </w:t>
      </w:r>
    </w:p>
    <w:p w14:paraId="2CEC1F9D" w14:textId="3C4A13E7" w:rsidR="00B46F0F" w:rsidRDefault="00B46F0F" w:rsidP="003B5E5A">
      <w:pPr>
        <w:spacing w:after="0" w:line="240" w:lineRule="auto"/>
        <w:jc w:val="both"/>
      </w:pPr>
      <w:r>
        <w:t>La division par les acquéreurs, après la vente des lots, en vue de créer un lot de construction supplémentaire est interdite</w:t>
      </w:r>
      <w:r w:rsidR="006D4392">
        <w:t xml:space="preserve"> jusqu’au 31 décembre 2031. </w:t>
      </w:r>
    </w:p>
    <w:p w14:paraId="228D89E1" w14:textId="2AEF4558" w:rsidR="00B46F0F" w:rsidRDefault="00B46F0F" w:rsidP="003B5E5A">
      <w:pPr>
        <w:spacing w:after="0" w:line="240" w:lineRule="auto"/>
        <w:jc w:val="both"/>
      </w:pPr>
    </w:p>
    <w:p w14:paraId="3EC0DD13" w14:textId="525B887C" w:rsidR="00900F35" w:rsidRPr="00631A37" w:rsidRDefault="00B46F0F" w:rsidP="003B5E5A">
      <w:pPr>
        <w:spacing w:after="0" w:line="240" w:lineRule="auto"/>
        <w:jc w:val="both"/>
        <w:rPr>
          <w:u w:val="single"/>
        </w:rPr>
      </w:pPr>
      <w:r w:rsidRPr="00631A37">
        <w:rPr>
          <w:u w:val="single"/>
        </w:rPr>
        <w:t xml:space="preserve">ARTICLE </w:t>
      </w:r>
      <w:r w:rsidR="00DF6717">
        <w:rPr>
          <w:u w:val="single"/>
        </w:rPr>
        <w:t>5</w:t>
      </w:r>
      <w:r w:rsidRPr="00631A37">
        <w:rPr>
          <w:u w:val="single"/>
        </w:rPr>
        <w:t xml:space="preserve"> : IMPLANTATION DES CONSTRUCTIONS PAR RAPPORT AUX EMPRISES PUBLIQUES ET AUX VOIES </w:t>
      </w:r>
    </w:p>
    <w:p w14:paraId="55F636DE" w14:textId="6A76986F" w:rsidR="00AD49E5" w:rsidRDefault="002D0AC1" w:rsidP="008B29C6">
      <w:pPr>
        <w:spacing w:after="0" w:line="240" w:lineRule="auto"/>
        <w:jc w:val="both"/>
      </w:pPr>
      <w:r>
        <w:t xml:space="preserve">Aucune règle supplémentaire n’est édictée par rapport au plan local d’urbanisme. Cependant les acquéreurs devront s’acquitter d’un dépôt de garantie de 1 500 € afin de prévenir toute dégradation de voirie pendant la durée des travaux de leur construction. </w:t>
      </w:r>
    </w:p>
    <w:p w14:paraId="62C2B775" w14:textId="77777777" w:rsidR="008B29C6" w:rsidRDefault="008B29C6" w:rsidP="008B29C6">
      <w:pPr>
        <w:spacing w:after="0" w:line="240" w:lineRule="auto"/>
        <w:jc w:val="both"/>
      </w:pPr>
    </w:p>
    <w:p w14:paraId="32FEE0EE" w14:textId="3C9BC725" w:rsidR="000902DD" w:rsidRPr="00631A37" w:rsidRDefault="00B46F0F" w:rsidP="003B5E5A">
      <w:pPr>
        <w:spacing w:after="0" w:line="240" w:lineRule="auto"/>
        <w:jc w:val="both"/>
        <w:rPr>
          <w:u w:val="single"/>
        </w:rPr>
      </w:pPr>
      <w:r w:rsidRPr="00631A37">
        <w:rPr>
          <w:u w:val="single"/>
        </w:rPr>
        <w:t xml:space="preserve">ARTICLE </w:t>
      </w:r>
      <w:r w:rsidR="007645AA">
        <w:rPr>
          <w:u w:val="single"/>
        </w:rPr>
        <w:t>6</w:t>
      </w:r>
      <w:r w:rsidRPr="00631A37">
        <w:rPr>
          <w:u w:val="single"/>
        </w:rPr>
        <w:t xml:space="preserve"> : IMPLANTATION DES CONSTRUCTIONS LES UNES PAR RAPPORT AUX AUTRES SUR UNE MEME PROPRIETE </w:t>
      </w:r>
    </w:p>
    <w:p w14:paraId="01EB14E9" w14:textId="4EA9F4F9" w:rsidR="000902DD" w:rsidRPr="00CD0BD6" w:rsidRDefault="003D6B45" w:rsidP="003B5E5A">
      <w:pPr>
        <w:spacing w:after="0" w:line="240" w:lineRule="auto"/>
        <w:jc w:val="both"/>
        <w:rPr>
          <w:color w:val="FF0000"/>
        </w:rPr>
      </w:pPr>
      <w:r>
        <w:t xml:space="preserve">Une distance minimale de 4 mètres entre deux constructions sur une même propriété devra obligatoirement être respectée. </w:t>
      </w:r>
    </w:p>
    <w:p w14:paraId="56DCF91C" w14:textId="77777777" w:rsidR="00DB4766" w:rsidRDefault="00DB4766" w:rsidP="003B5E5A">
      <w:pPr>
        <w:spacing w:after="0" w:line="240" w:lineRule="auto"/>
        <w:jc w:val="both"/>
        <w:rPr>
          <w:u w:val="single"/>
        </w:rPr>
      </w:pPr>
    </w:p>
    <w:p w14:paraId="1C850398" w14:textId="18EA8447" w:rsidR="000902DD" w:rsidRPr="00631A37" w:rsidRDefault="00B46F0F" w:rsidP="003B5E5A">
      <w:pPr>
        <w:spacing w:after="0" w:line="240" w:lineRule="auto"/>
        <w:jc w:val="both"/>
        <w:rPr>
          <w:u w:val="single"/>
        </w:rPr>
      </w:pPr>
      <w:r w:rsidRPr="00631A37">
        <w:rPr>
          <w:u w:val="single"/>
        </w:rPr>
        <w:t xml:space="preserve">ARTICLE </w:t>
      </w:r>
      <w:r w:rsidR="00DB4766">
        <w:rPr>
          <w:u w:val="single"/>
        </w:rPr>
        <w:t>7</w:t>
      </w:r>
      <w:r w:rsidRPr="00631A37">
        <w:rPr>
          <w:u w:val="single"/>
        </w:rPr>
        <w:t xml:space="preserve"> : HAUTEUR DES CONSTRUCTIONS </w:t>
      </w:r>
    </w:p>
    <w:p w14:paraId="1BF146A2" w14:textId="0EBF65B9" w:rsidR="00DB4766" w:rsidRDefault="00D5059F" w:rsidP="003B5E5A">
      <w:pPr>
        <w:spacing w:after="0" w:line="240" w:lineRule="auto"/>
        <w:jc w:val="both"/>
      </w:pPr>
      <w:r>
        <w:t>La construction projetée devra se limiter à une hauteur maximale de 8 mètres au faîtage de toiture, hors sous-sol qui sera d’un</w:t>
      </w:r>
      <w:r w:rsidR="00B37295">
        <w:t>e hauteur maximale</w:t>
      </w:r>
      <w:r>
        <w:t xml:space="preserve"> d’</w:t>
      </w:r>
      <w:r w:rsidR="001D426C">
        <w:t>2</w:t>
      </w:r>
      <w:r>
        <w:t>,</w:t>
      </w:r>
      <w:r w:rsidR="001D426C">
        <w:t>5</w:t>
      </w:r>
      <w:r>
        <w:t xml:space="preserve">0 mètres. </w:t>
      </w:r>
    </w:p>
    <w:p w14:paraId="5FAE198F" w14:textId="3D44666F" w:rsidR="00BA2B3A" w:rsidRPr="00AA32D1" w:rsidRDefault="00A814E8" w:rsidP="00AA32D1">
      <w:pPr>
        <w:autoSpaceDE w:val="0"/>
        <w:autoSpaceDN w:val="0"/>
        <w:adjustRightInd w:val="0"/>
        <w:spacing w:after="0" w:line="240" w:lineRule="auto"/>
        <w:jc w:val="both"/>
        <w:rPr>
          <w:rFonts w:cstheme="minorHAnsi"/>
        </w:rPr>
      </w:pPr>
      <w:r w:rsidRPr="00A814E8">
        <w:rPr>
          <w:rFonts w:cstheme="minorHAnsi"/>
        </w:rPr>
        <w:t>La hauteur maximale est mesurée par rapport au niveau moyen du terrain naturel au droit de l'assiette de la construction, en référence au point haut et au point bas de l’emprise de celle-ci.</w:t>
      </w:r>
    </w:p>
    <w:p w14:paraId="307F1AB3" w14:textId="77777777" w:rsidR="004C06F0" w:rsidRDefault="004C06F0" w:rsidP="003B5E5A">
      <w:pPr>
        <w:spacing w:after="0" w:line="240" w:lineRule="auto"/>
        <w:jc w:val="both"/>
        <w:rPr>
          <w:u w:val="single"/>
        </w:rPr>
      </w:pPr>
    </w:p>
    <w:p w14:paraId="50053674" w14:textId="116A65DA" w:rsidR="001F3F00" w:rsidRDefault="00B46F0F" w:rsidP="003B5E5A">
      <w:pPr>
        <w:spacing w:after="0" w:line="240" w:lineRule="auto"/>
        <w:jc w:val="both"/>
        <w:rPr>
          <w:u w:val="single"/>
        </w:rPr>
      </w:pPr>
      <w:r w:rsidRPr="00631A37">
        <w:rPr>
          <w:u w:val="single"/>
        </w:rPr>
        <w:t xml:space="preserve">ARTICLE </w:t>
      </w:r>
      <w:r w:rsidR="0027519D">
        <w:rPr>
          <w:u w:val="single"/>
        </w:rPr>
        <w:t>8</w:t>
      </w:r>
      <w:r w:rsidRPr="00631A37">
        <w:rPr>
          <w:u w:val="single"/>
        </w:rPr>
        <w:t xml:space="preserve"> : ASPECT EXTERIEUR DES CONSTRUCTIONS </w:t>
      </w:r>
    </w:p>
    <w:p w14:paraId="22B84E93" w14:textId="6E98A775" w:rsidR="003C5B9E" w:rsidRDefault="00B46F0F" w:rsidP="003B5E5A">
      <w:pPr>
        <w:spacing w:after="0" w:line="240" w:lineRule="auto"/>
        <w:jc w:val="both"/>
      </w:pPr>
      <w:r>
        <w:t>Les éléments décoratifs, étrangers à la région (piliers, balustrades, colonnes, tourelles…) ou tout autre élément de pastiche, de style antique</w:t>
      </w:r>
      <w:r w:rsidR="008D6108">
        <w:t>, méditerranéen</w:t>
      </w:r>
      <w:r>
        <w:t xml:space="preserve"> ou rococo sont interdits. </w:t>
      </w:r>
    </w:p>
    <w:p w14:paraId="036F581A" w14:textId="2897A5D8" w:rsidR="003C5B9E" w:rsidRDefault="00B46F0F" w:rsidP="003B5E5A">
      <w:pPr>
        <w:spacing w:after="0" w:line="240" w:lineRule="auto"/>
        <w:jc w:val="both"/>
      </w:pPr>
      <w:r>
        <w:t>Les équipements liés aux énergies renouvelables (tels que panneaux solaires, ou autres…) seront intégrés</w:t>
      </w:r>
      <w:r w:rsidR="004631B6">
        <w:t xml:space="preserve"> harmonieusement</w:t>
      </w:r>
      <w:r>
        <w:t xml:space="preserve"> dans la composition de la façade et de toiture.</w:t>
      </w:r>
    </w:p>
    <w:p w14:paraId="2B0D6863" w14:textId="1FE3D738" w:rsidR="00C93092" w:rsidRDefault="003C5B9E" w:rsidP="003B5E5A">
      <w:pPr>
        <w:spacing w:after="0" w:line="240" w:lineRule="auto"/>
        <w:jc w:val="both"/>
      </w:pPr>
      <w:r>
        <w:t>L</w:t>
      </w:r>
      <w:r w:rsidR="00B46F0F">
        <w:t xml:space="preserve">es façades </w:t>
      </w:r>
      <w:r>
        <w:t xml:space="preserve">seront en </w:t>
      </w:r>
      <w:r w:rsidR="00B46F0F">
        <w:t>enduit taloché de teinte beige, beige rosé,</w:t>
      </w:r>
      <w:r w:rsidR="00C93092">
        <w:t xml:space="preserve"> gris clair</w:t>
      </w:r>
      <w:r w:rsidR="00B46F0F">
        <w:t xml:space="preserve"> </w:t>
      </w:r>
      <w:r w:rsidR="00C93092">
        <w:t xml:space="preserve">ou autre couleur neutre prévue au règlement de zonage du PLU. Les teintes vives ne sont pas autorisées. </w:t>
      </w:r>
    </w:p>
    <w:p w14:paraId="3C59A566" w14:textId="77777777" w:rsidR="00155E2D" w:rsidRPr="00460A58" w:rsidRDefault="00155E2D" w:rsidP="00155E2D">
      <w:pPr>
        <w:spacing w:after="0" w:line="240" w:lineRule="auto"/>
        <w:jc w:val="both"/>
      </w:pPr>
      <w:r w:rsidRPr="00460A58">
        <w:t xml:space="preserve">Les façades pourront également être réalisées en bardage bois ou métallique, dans le respect des règles prévues par le règlement de zonage du PLU (article 11 1AU). </w:t>
      </w:r>
    </w:p>
    <w:p w14:paraId="55F1F7CE" w14:textId="2F2CEEF7" w:rsidR="00B46F0F" w:rsidRDefault="00B46F0F" w:rsidP="003B5E5A">
      <w:pPr>
        <w:spacing w:after="0" w:line="240" w:lineRule="auto"/>
        <w:jc w:val="both"/>
      </w:pPr>
      <w:r>
        <w:t>Les descriptions et références précises des matériaux utilisés devront être fournies dans les demandes d’urbanismes.</w:t>
      </w:r>
    </w:p>
    <w:p w14:paraId="0F526CCE" w14:textId="7C9E1B5B" w:rsidR="00997CD3" w:rsidRPr="00263CF7" w:rsidRDefault="00B46F0F" w:rsidP="003B5E5A">
      <w:pPr>
        <w:spacing w:after="0" w:line="240" w:lineRule="auto"/>
        <w:jc w:val="both"/>
        <w:rPr>
          <w:color w:val="FF0000"/>
        </w:rPr>
      </w:pPr>
      <w:r>
        <w:t>La construction des clôtures est soumise à l’obtention d’un</w:t>
      </w:r>
      <w:r w:rsidR="00D33C58">
        <w:t xml:space="preserve"> alignement ou d’une permission de voirie</w:t>
      </w:r>
      <w:r>
        <w:t xml:space="preserve"> </w:t>
      </w:r>
      <w:r w:rsidR="00D33C58">
        <w:t xml:space="preserve">selon </w:t>
      </w:r>
      <w:r>
        <w:t>les textes en vigueur. Elles ne pourront dépasser une hauteur de 1,20 m</w:t>
      </w:r>
      <w:r w:rsidR="00D10B3E">
        <w:t xml:space="preserve"> </w:t>
      </w:r>
      <w:r w:rsidR="00263CF7" w:rsidRPr="00D10B3E">
        <w:t>face rue</w:t>
      </w:r>
      <w:r w:rsidR="00D10B3E" w:rsidRPr="00D10B3E">
        <w:t>.</w:t>
      </w:r>
    </w:p>
    <w:p w14:paraId="688A01E6" w14:textId="77777777" w:rsidR="00997CD3" w:rsidRDefault="00997CD3" w:rsidP="003B5E5A">
      <w:pPr>
        <w:spacing w:after="0" w:line="240" w:lineRule="auto"/>
        <w:jc w:val="both"/>
      </w:pPr>
    </w:p>
    <w:p w14:paraId="70BF7018" w14:textId="5193EE15" w:rsidR="00F24B1C" w:rsidRPr="0030380C" w:rsidRDefault="00B46F0F" w:rsidP="003B5E5A">
      <w:pPr>
        <w:spacing w:after="0" w:line="240" w:lineRule="auto"/>
        <w:jc w:val="both"/>
        <w:rPr>
          <w:u w:val="single"/>
        </w:rPr>
      </w:pPr>
      <w:r w:rsidRPr="0030380C">
        <w:rPr>
          <w:u w:val="single"/>
        </w:rPr>
        <w:t xml:space="preserve">ARTICLE </w:t>
      </w:r>
      <w:r w:rsidR="00D84931">
        <w:rPr>
          <w:u w:val="single"/>
        </w:rPr>
        <w:t>9</w:t>
      </w:r>
      <w:r w:rsidRPr="0030380C">
        <w:rPr>
          <w:u w:val="single"/>
        </w:rPr>
        <w:t xml:space="preserve"> : STATIONNEMENTS </w:t>
      </w:r>
    </w:p>
    <w:p w14:paraId="3F4F94C1" w14:textId="1B4C1CD7" w:rsidR="00E17E22" w:rsidRDefault="00B46F0F" w:rsidP="003B5E5A">
      <w:pPr>
        <w:spacing w:after="0" w:line="240" w:lineRule="auto"/>
        <w:jc w:val="both"/>
        <w:rPr>
          <w:color w:val="FF0000"/>
        </w:rPr>
      </w:pPr>
      <w:r>
        <w:t>Les places de stationnements extérieures seront traitées obligatoirement par un revêtement stable :</w:t>
      </w:r>
      <w:r w:rsidR="00F24B1C">
        <w:t xml:space="preserve"> enrobé, pavage, dallage, gravier stabilisé, béton désactivé ou </w:t>
      </w:r>
      <w:r w:rsidR="00E17E22">
        <w:t>concassé compacté.</w:t>
      </w:r>
      <w:r>
        <w:t xml:space="preserve"> </w:t>
      </w:r>
    </w:p>
    <w:p w14:paraId="51FB260B" w14:textId="76CF2968" w:rsidR="00406B5F" w:rsidRPr="009C4E65" w:rsidRDefault="00126351" w:rsidP="003B5E5A">
      <w:pPr>
        <w:spacing w:after="0" w:line="240" w:lineRule="auto"/>
        <w:jc w:val="both"/>
      </w:pPr>
      <w:r w:rsidRPr="009C4E65">
        <w:t>Toute eau pluviale se trouvant sur les parcelles privées doit être détournée de la voie publique.</w:t>
      </w:r>
    </w:p>
    <w:p w14:paraId="36A1AE5B" w14:textId="61456C10" w:rsidR="000902DD" w:rsidRDefault="00B46F0F" w:rsidP="003B5E5A">
      <w:pPr>
        <w:spacing w:after="0" w:line="240" w:lineRule="auto"/>
        <w:jc w:val="both"/>
      </w:pPr>
      <w:r>
        <w:t xml:space="preserve">L’aménagement des places de stationnement sera entièrement à la charge des acquéreurs. </w:t>
      </w:r>
    </w:p>
    <w:p w14:paraId="6407C714" w14:textId="77777777" w:rsidR="001C4C24" w:rsidRDefault="001C4C24" w:rsidP="003B5E5A">
      <w:pPr>
        <w:spacing w:after="0" w:line="240" w:lineRule="auto"/>
        <w:jc w:val="both"/>
      </w:pPr>
    </w:p>
    <w:p w14:paraId="20B8535E" w14:textId="09E2A658" w:rsidR="00631A37" w:rsidRPr="00631A37" w:rsidRDefault="00B46F0F" w:rsidP="003B5E5A">
      <w:pPr>
        <w:spacing w:after="0" w:line="240" w:lineRule="auto"/>
        <w:jc w:val="both"/>
        <w:rPr>
          <w:u w:val="single"/>
        </w:rPr>
      </w:pPr>
      <w:r w:rsidRPr="00631A37">
        <w:rPr>
          <w:u w:val="single"/>
        </w:rPr>
        <w:lastRenderedPageBreak/>
        <w:t>ARTICLE 1</w:t>
      </w:r>
      <w:r w:rsidR="008A5777">
        <w:rPr>
          <w:u w:val="single"/>
        </w:rPr>
        <w:t>0</w:t>
      </w:r>
      <w:r w:rsidRPr="00631A37">
        <w:rPr>
          <w:u w:val="single"/>
        </w:rPr>
        <w:t xml:space="preserve"> : ESPACES LIBRES ET PLANTATIONS </w:t>
      </w:r>
    </w:p>
    <w:p w14:paraId="622F7162" w14:textId="4BC51DCA" w:rsidR="00AB4006" w:rsidRDefault="008D06AC" w:rsidP="003B5E5A">
      <w:pPr>
        <w:spacing w:after="0" w:line="240" w:lineRule="auto"/>
        <w:jc w:val="both"/>
      </w:pPr>
      <w:r>
        <w:t>En cas</w:t>
      </w:r>
      <w:r w:rsidR="00B46F0F">
        <w:t xml:space="preserve"> de</w:t>
      </w:r>
      <w:r>
        <w:t xml:space="preserve"> </w:t>
      </w:r>
      <w:r w:rsidR="00B46F0F">
        <w:t>piscine</w:t>
      </w:r>
      <w:r>
        <w:t xml:space="preserve"> </w:t>
      </w:r>
      <w:r w:rsidR="00B46F0F">
        <w:t xml:space="preserve">extérieure, </w:t>
      </w:r>
      <w:r w:rsidR="00AB4006">
        <w:t xml:space="preserve">il convient de </w:t>
      </w:r>
      <w:r w:rsidR="00B46F0F">
        <w:t xml:space="preserve">prévoir un liner sombre et </w:t>
      </w:r>
      <w:r w:rsidR="00AB4006">
        <w:t xml:space="preserve">de </w:t>
      </w:r>
      <w:r w:rsidR="00B46F0F">
        <w:t>végétaliser les abords afin qu’elle</w:t>
      </w:r>
      <w:r w:rsidR="00590161">
        <w:t xml:space="preserve"> </w:t>
      </w:r>
      <w:r w:rsidR="00B46F0F">
        <w:t>soi</w:t>
      </w:r>
      <w:r w:rsidR="00590161">
        <w:t xml:space="preserve">t </w:t>
      </w:r>
      <w:r w:rsidR="00AB4006">
        <w:t>peu</w:t>
      </w:r>
      <w:r w:rsidR="00B46F0F">
        <w:t xml:space="preserve"> </w:t>
      </w:r>
      <w:r w:rsidR="00AB4006">
        <w:t>visible</w:t>
      </w:r>
      <w:r w:rsidR="00B46F0F">
        <w:t xml:space="preserve"> du domaine public. </w:t>
      </w:r>
    </w:p>
    <w:p w14:paraId="6544A829" w14:textId="15F41FD6" w:rsidR="00AB581A" w:rsidRDefault="00B46F0F" w:rsidP="003B5E5A">
      <w:pPr>
        <w:spacing w:after="0" w:line="240" w:lineRule="auto"/>
        <w:jc w:val="both"/>
      </w:pPr>
      <w:r>
        <w:t>Sur limite arrière, prévoir des arbres de type verger et haies vives d’essences locales à feuillage cadu</w:t>
      </w:r>
      <w:r w:rsidR="009C4E65">
        <w:t>que</w:t>
      </w:r>
      <w:r>
        <w:t xml:space="preserve">. Les espaces non destinés aux entrées et aux stationnements, situés entre les bâtiments et l’alignement seront obligatoirement engazonnés et plantés de végétaux d’agrément et décoratifs </w:t>
      </w:r>
      <w:r w:rsidR="00DB18F9">
        <w:t xml:space="preserve">en tout ou partie, </w:t>
      </w:r>
      <w:r>
        <w:t>en dehors des entrées et des parkings.</w:t>
      </w:r>
      <w:r w:rsidR="00263CF7">
        <w:rPr>
          <w:color w:val="FF0000"/>
        </w:rPr>
        <w:t xml:space="preserve"> </w:t>
      </w:r>
    </w:p>
    <w:p w14:paraId="61A2E718" w14:textId="578E69C7" w:rsidR="00862E98" w:rsidRDefault="00B46F0F" w:rsidP="003B5E5A">
      <w:pPr>
        <w:spacing w:after="0" w:line="240" w:lineRule="auto"/>
        <w:jc w:val="both"/>
      </w:pPr>
      <w:r>
        <w:t>Les accès piétons et les stationnements seront traités par un</w:t>
      </w:r>
      <w:r w:rsidR="00862E98">
        <w:t xml:space="preserve"> </w:t>
      </w:r>
      <w:r>
        <w:t xml:space="preserve">revêtement stable </w:t>
      </w:r>
      <w:r w:rsidR="00862E98">
        <w:t xml:space="preserve">tel qu’évoqué à l’article </w:t>
      </w:r>
      <w:r w:rsidR="008A5777">
        <w:t>9</w:t>
      </w:r>
      <w:r w:rsidR="00862E98">
        <w:t xml:space="preserve">. </w:t>
      </w:r>
    </w:p>
    <w:p w14:paraId="4FFAE8E7" w14:textId="57439791" w:rsidR="0055542B" w:rsidRDefault="00B46F0F" w:rsidP="003B5E5A">
      <w:pPr>
        <w:spacing w:after="0" w:line="240" w:lineRule="auto"/>
        <w:jc w:val="both"/>
      </w:pPr>
      <w:r>
        <w:t>Ils pourront recevoir des arbustes de faible hauteur et des arbres</w:t>
      </w:r>
      <w:r w:rsidR="00053D3C">
        <w:t xml:space="preserve"> dans la limite de </w:t>
      </w:r>
      <w:r w:rsidR="004D1D31">
        <w:t>6</w:t>
      </w:r>
      <w:r w:rsidR="00053D3C">
        <w:t xml:space="preserve"> mètres de hauteur</w:t>
      </w:r>
      <w:r>
        <w:t xml:space="preserve">. Les végétaux seront de types rustiques, locaux, apportant aux usagers et futurs habitants des couleurs et des variations marquant de manière significative la succession des saisons. </w:t>
      </w:r>
    </w:p>
    <w:p w14:paraId="4E7F85B1" w14:textId="6D13D7B7" w:rsidR="00EF7F21" w:rsidRDefault="00B46F0F" w:rsidP="003B5E5A">
      <w:pPr>
        <w:spacing w:after="0" w:line="240" w:lineRule="auto"/>
        <w:jc w:val="both"/>
      </w:pPr>
      <w:r>
        <w:t>Les surfaces non affectées aux constructions, à l’arrière de celles-ci, devront être traitées en jardin d’agrément, potager ou plantation</w:t>
      </w:r>
      <w:r w:rsidR="006F7448">
        <w:t xml:space="preserve"> avec aménagements de vie</w:t>
      </w:r>
      <w:r>
        <w:t xml:space="preserve"> et être entretenues. </w:t>
      </w:r>
    </w:p>
    <w:p w14:paraId="4F9CF646" w14:textId="77777777" w:rsidR="00AC4621" w:rsidRDefault="00AC4621" w:rsidP="003B5E5A">
      <w:pPr>
        <w:spacing w:after="0" w:line="240" w:lineRule="auto"/>
        <w:jc w:val="both"/>
        <w:rPr>
          <w:color w:val="FF0000"/>
        </w:rPr>
      </w:pPr>
    </w:p>
    <w:p w14:paraId="4B4BEEB9" w14:textId="6585C13F" w:rsidR="006768D4" w:rsidRDefault="006768D4" w:rsidP="003B5E5A">
      <w:pPr>
        <w:spacing w:after="0" w:line="240" w:lineRule="auto"/>
        <w:jc w:val="both"/>
      </w:pPr>
      <w:r w:rsidRPr="005C7428">
        <w:rPr>
          <w:u w:val="single"/>
        </w:rPr>
        <w:t>ARTICLE 1</w:t>
      </w:r>
      <w:r w:rsidR="005D49CA">
        <w:rPr>
          <w:u w:val="single"/>
        </w:rPr>
        <w:t>1</w:t>
      </w:r>
      <w:r w:rsidRPr="005C7428">
        <w:rPr>
          <w:u w:val="single"/>
        </w:rPr>
        <w:t> : CIRCULATION ROUTIERE</w:t>
      </w:r>
      <w:r>
        <w:t> </w:t>
      </w:r>
    </w:p>
    <w:p w14:paraId="68856CB4" w14:textId="43B6515A" w:rsidR="006768D4" w:rsidRPr="00263CF7" w:rsidRDefault="006768D4" w:rsidP="003B5E5A">
      <w:pPr>
        <w:spacing w:after="0" w:line="240" w:lineRule="auto"/>
        <w:jc w:val="both"/>
        <w:rPr>
          <w:color w:val="FF0000"/>
        </w:rPr>
      </w:pPr>
      <w:r>
        <w:t>Le sens de circulation sera unique, depuis la rue des roches de fontaine en direction d</w:t>
      </w:r>
      <w:r w:rsidR="00AC4621">
        <w:t>e l’impasse de la clairière</w:t>
      </w:r>
      <w:r>
        <w:t>.</w:t>
      </w:r>
      <w:r w:rsidR="00AC4621">
        <w:t xml:space="preserve"> </w:t>
      </w:r>
    </w:p>
    <w:p w14:paraId="555D67D1" w14:textId="1AEF62A6" w:rsidR="00EF7F21" w:rsidRDefault="00EF7F21" w:rsidP="003B5E5A">
      <w:pPr>
        <w:spacing w:after="0" w:line="240" w:lineRule="auto"/>
        <w:jc w:val="both"/>
      </w:pPr>
    </w:p>
    <w:p w14:paraId="0CD6ED7A" w14:textId="37EFBA07" w:rsidR="00D87A96" w:rsidRPr="005C7428" w:rsidRDefault="005C7428" w:rsidP="00D87A96">
      <w:pPr>
        <w:spacing w:after="0" w:line="240" w:lineRule="auto"/>
        <w:jc w:val="both"/>
        <w:rPr>
          <w:u w:val="single"/>
        </w:rPr>
      </w:pPr>
      <w:r w:rsidRPr="005C7428">
        <w:rPr>
          <w:u w:val="single"/>
        </w:rPr>
        <w:t>ARTICLE 1</w:t>
      </w:r>
      <w:r w:rsidR="005D49CA">
        <w:rPr>
          <w:u w:val="single"/>
        </w:rPr>
        <w:t>2</w:t>
      </w:r>
      <w:r w:rsidRPr="005C7428">
        <w:rPr>
          <w:u w:val="single"/>
        </w:rPr>
        <w:t> : SERVITUDES </w:t>
      </w:r>
    </w:p>
    <w:p w14:paraId="6C70CDE6" w14:textId="3A420298" w:rsidR="005C7428" w:rsidRDefault="005C7428" w:rsidP="003B5E5A">
      <w:pPr>
        <w:spacing w:after="0" w:line="240" w:lineRule="auto"/>
        <w:jc w:val="both"/>
      </w:pPr>
      <w:r>
        <w:t>Les servitudes suivantes sont constituées à la charge des propriétaires des lots concernés.</w:t>
      </w:r>
    </w:p>
    <w:tbl>
      <w:tblPr>
        <w:tblStyle w:val="Grilledutableau"/>
        <w:tblW w:w="0" w:type="auto"/>
        <w:tblLook w:val="04A0" w:firstRow="1" w:lastRow="0" w:firstColumn="1" w:lastColumn="0" w:noHBand="0" w:noVBand="1"/>
      </w:tblPr>
      <w:tblGrid>
        <w:gridCol w:w="1413"/>
        <w:gridCol w:w="2126"/>
        <w:gridCol w:w="2552"/>
        <w:gridCol w:w="2971"/>
      </w:tblGrid>
      <w:tr w:rsidR="005C7428" w14:paraId="32992E52" w14:textId="77777777" w:rsidTr="00AD01D9">
        <w:tc>
          <w:tcPr>
            <w:tcW w:w="1413" w:type="dxa"/>
          </w:tcPr>
          <w:p w14:paraId="62208DA8" w14:textId="47C70522" w:rsidR="005C7428" w:rsidRPr="00AD01D9" w:rsidRDefault="005C7428" w:rsidP="003B5E5A">
            <w:pPr>
              <w:jc w:val="both"/>
              <w:rPr>
                <w:b/>
                <w:bCs/>
              </w:rPr>
            </w:pPr>
            <w:r w:rsidRPr="00AD01D9">
              <w:rPr>
                <w:b/>
                <w:bCs/>
              </w:rPr>
              <w:t>Lot n°</w:t>
            </w:r>
          </w:p>
        </w:tc>
        <w:tc>
          <w:tcPr>
            <w:tcW w:w="2126" w:type="dxa"/>
          </w:tcPr>
          <w:p w14:paraId="15E7584D" w14:textId="675EAB80" w:rsidR="005C7428" w:rsidRPr="00AD01D9" w:rsidRDefault="005C7428" w:rsidP="003B5E5A">
            <w:pPr>
              <w:jc w:val="both"/>
              <w:rPr>
                <w:b/>
                <w:bCs/>
              </w:rPr>
            </w:pPr>
            <w:r w:rsidRPr="00AD01D9">
              <w:rPr>
                <w:b/>
                <w:bCs/>
              </w:rPr>
              <w:t>Type de servitude</w:t>
            </w:r>
          </w:p>
        </w:tc>
        <w:tc>
          <w:tcPr>
            <w:tcW w:w="2552" w:type="dxa"/>
          </w:tcPr>
          <w:p w14:paraId="5B841125" w14:textId="07951E5F" w:rsidR="005C7428" w:rsidRPr="00AD01D9" w:rsidRDefault="005C7428" w:rsidP="003B5E5A">
            <w:pPr>
              <w:jc w:val="both"/>
              <w:rPr>
                <w:b/>
                <w:bCs/>
              </w:rPr>
            </w:pPr>
            <w:r w:rsidRPr="00AD01D9">
              <w:rPr>
                <w:b/>
                <w:bCs/>
              </w:rPr>
              <w:t>Bénéficiaire</w:t>
            </w:r>
          </w:p>
        </w:tc>
        <w:tc>
          <w:tcPr>
            <w:tcW w:w="2971" w:type="dxa"/>
          </w:tcPr>
          <w:p w14:paraId="67333585" w14:textId="6CA6EC65" w:rsidR="005C7428" w:rsidRPr="00AD01D9" w:rsidRDefault="00AD01D9" w:rsidP="003B5E5A">
            <w:pPr>
              <w:jc w:val="both"/>
              <w:rPr>
                <w:b/>
                <w:bCs/>
              </w:rPr>
            </w:pPr>
            <w:r w:rsidRPr="00AD01D9">
              <w:rPr>
                <w:b/>
                <w:bCs/>
              </w:rPr>
              <w:t>Objet de la servitude</w:t>
            </w:r>
          </w:p>
        </w:tc>
      </w:tr>
      <w:tr w:rsidR="001F560B" w14:paraId="3582EB69" w14:textId="77777777" w:rsidTr="00AD01D9">
        <w:tc>
          <w:tcPr>
            <w:tcW w:w="1413" w:type="dxa"/>
          </w:tcPr>
          <w:p w14:paraId="5B4176B1" w14:textId="6F610FFB" w:rsidR="001F560B" w:rsidRDefault="001F560B" w:rsidP="001F560B">
            <w:pPr>
              <w:jc w:val="both"/>
            </w:pPr>
            <w:r w:rsidRPr="00F26427">
              <w:t>24</w:t>
            </w:r>
          </w:p>
        </w:tc>
        <w:tc>
          <w:tcPr>
            <w:tcW w:w="2126" w:type="dxa"/>
          </w:tcPr>
          <w:p w14:paraId="79733B97" w14:textId="05BC9B6E" w:rsidR="001F560B" w:rsidRDefault="001F560B" w:rsidP="001F560B">
            <w:pPr>
              <w:jc w:val="both"/>
            </w:pPr>
            <w:r>
              <w:t>Tréfonds</w:t>
            </w:r>
          </w:p>
        </w:tc>
        <w:tc>
          <w:tcPr>
            <w:tcW w:w="2552" w:type="dxa"/>
          </w:tcPr>
          <w:p w14:paraId="54C20125" w14:textId="2FA36BC8" w:rsidR="001F560B" w:rsidRDefault="001F560B" w:rsidP="001F560B">
            <w:pPr>
              <w:jc w:val="both"/>
            </w:pPr>
            <w:r>
              <w:t>Commune</w:t>
            </w:r>
          </w:p>
        </w:tc>
        <w:tc>
          <w:tcPr>
            <w:tcW w:w="2971" w:type="dxa"/>
          </w:tcPr>
          <w:p w14:paraId="31B2DADC" w14:textId="2B6AA090" w:rsidR="001F560B" w:rsidRDefault="001F560B" w:rsidP="001F560B">
            <w:pPr>
              <w:jc w:val="both"/>
            </w:pPr>
            <w:r>
              <w:t>Canalisations d’eaux usées pluvial</w:t>
            </w:r>
          </w:p>
        </w:tc>
      </w:tr>
    </w:tbl>
    <w:p w14:paraId="06B8C4F4" w14:textId="26578A7B" w:rsidR="00436BE1" w:rsidRDefault="00436BE1" w:rsidP="003B5E5A">
      <w:pPr>
        <w:spacing w:after="0" w:line="240" w:lineRule="auto"/>
        <w:jc w:val="both"/>
        <w:rPr>
          <w:u w:val="single"/>
        </w:rPr>
      </w:pPr>
    </w:p>
    <w:p w14:paraId="076850E7" w14:textId="07670B35" w:rsidR="00B933EF" w:rsidRPr="00F26427" w:rsidRDefault="00B933EF" w:rsidP="003B5E5A">
      <w:pPr>
        <w:spacing w:after="0" w:line="240" w:lineRule="auto"/>
        <w:jc w:val="both"/>
      </w:pPr>
      <w:r w:rsidRPr="00F26427">
        <w:t xml:space="preserve">Par ailleurs, à l’occasion de l’acte de vente définitif des parcelles, une servitude sera instituée sur l’ensemble des lots au droit des coffrets de branchement des réseaux publics afin de permettre aux services concessionnaires d’intervenir, y compris </w:t>
      </w:r>
      <w:r w:rsidRPr="00F26427">
        <w:rPr>
          <w:i/>
          <w:iCs/>
        </w:rPr>
        <w:t>via</w:t>
      </w:r>
      <w:r w:rsidRPr="00F26427">
        <w:t xml:space="preserve"> le domaine privé, </w:t>
      </w:r>
      <w:r w:rsidR="00045064" w:rsidRPr="00F26427">
        <w:t xml:space="preserve">pour procéder aux travaux nécessaires au bon fonctionnement des réseaux concernés. </w:t>
      </w:r>
      <w:r w:rsidR="007A31C3" w:rsidRPr="00F26427">
        <w:t xml:space="preserve">Les coffrets devront donc être toujours accessibles depuis le domaine public, et les parcelles accessibles si les travaux le nécessitent. </w:t>
      </w:r>
    </w:p>
    <w:p w14:paraId="035DA77B" w14:textId="77777777" w:rsidR="00B933EF" w:rsidRDefault="00B933EF" w:rsidP="003B5E5A">
      <w:pPr>
        <w:spacing w:after="0" w:line="240" w:lineRule="auto"/>
        <w:jc w:val="both"/>
        <w:rPr>
          <w:u w:val="single"/>
        </w:rPr>
      </w:pPr>
    </w:p>
    <w:p w14:paraId="61D05409" w14:textId="6D0E3985" w:rsidR="00AD01D9" w:rsidRPr="00AD01D9" w:rsidRDefault="00AD01D9" w:rsidP="003B5E5A">
      <w:pPr>
        <w:spacing w:after="0" w:line="240" w:lineRule="auto"/>
        <w:jc w:val="both"/>
        <w:rPr>
          <w:u w:val="single"/>
        </w:rPr>
      </w:pPr>
      <w:r w:rsidRPr="00AD01D9">
        <w:rPr>
          <w:u w:val="single"/>
        </w:rPr>
        <w:t>ARTICLE 1</w:t>
      </w:r>
      <w:r w:rsidR="006F48F2">
        <w:rPr>
          <w:u w:val="single"/>
        </w:rPr>
        <w:t>3</w:t>
      </w:r>
      <w:r w:rsidRPr="00AD01D9">
        <w:rPr>
          <w:u w:val="single"/>
        </w:rPr>
        <w:t> : REPARTITION DES LOTS</w:t>
      </w:r>
    </w:p>
    <w:p w14:paraId="00200950" w14:textId="57853784" w:rsidR="00AD01D9" w:rsidRPr="00F26427" w:rsidRDefault="006C098B" w:rsidP="003B5E5A">
      <w:pPr>
        <w:spacing w:after="0" w:line="240" w:lineRule="auto"/>
        <w:jc w:val="both"/>
        <w:rPr>
          <w:rFonts w:eastAsia="Times New Roman" w:cstheme="minorHAnsi"/>
          <w:lang w:eastAsia="fr-FR"/>
        </w:rPr>
      </w:pPr>
      <w:r w:rsidRPr="00F26427">
        <w:rPr>
          <w:rFonts w:eastAsia="Times New Roman" w:cstheme="minorHAnsi"/>
          <w:lang w:eastAsia="fr-FR"/>
        </w:rPr>
        <w:t xml:space="preserve">La superficie totale du présent lotissement est de </w:t>
      </w:r>
      <w:r w:rsidR="00AD01D9" w:rsidRPr="00F26427">
        <w:rPr>
          <w:rFonts w:eastAsia="Times New Roman" w:cstheme="minorHAnsi"/>
          <w:lang w:eastAsia="fr-FR"/>
        </w:rPr>
        <w:t>2</w:t>
      </w:r>
      <w:r w:rsidR="00F22699">
        <w:rPr>
          <w:rFonts w:eastAsia="Times New Roman" w:cstheme="minorHAnsi"/>
          <w:lang w:eastAsia="fr-FR"/>
        </w:rPr>
        <w:t>1</w:t>
      </w:r>
      <w:r w:rsidR="00AD01D9" w:rsidRPr="00F26427">
        <w:rPr>
          <w:rFonts w:eastAsia="Times New Roman" w:cstheme="minorHAnsi"/>
          <w:lang w:eastAsia="fr-FR"/>
        </w:rPr>
        <w:t xml:space="preserve"> </w:t>
      </w:r>
      <w:r w:rsidR="00F22699">
        <w:rPr>
          <w:rFonts w:eastAsia="Times New Roman" w:cstheme="minorHAnsi"/>
          <w:lang w:eastAsia="fr-FR"/>
        </w:rPr>
        <w:t>002</w:t>
      </w:r>
      <w:r w:rsidRPr="00F26427">
        <w:rPr>
          <w:rFonts w:eastAsia="Times New Roman" w:cstheme="minorHAnsi"/>
          <w:lang w:eastAsia="fr-FR"/>
        </w:rPr>
        <w:t xml:space="preserve">m2 répartie entre les zones </w:t>
      </w:r>
      <w:r w:rsidR="00AD01D9" w:rsidRPr="00F26427">
        <w:rPr>
          <w:rFonts w:eastAsia="Times New Roman" w:cstheme="minorHAnsi"/>
          <w:lang w:eastAsia="fr-FR"/>
        </w:rPr>
        <w:t>1</w:t>
      </w:r>
      <w:r w:rsidRPr="00F26427">
        <w:rPr>
          <w:rFonts w:eastAsia="Times New Roman" w:cstheme="minorHAnsi"/>
          <w:lang w:eastAsia="fr-FR"/>
        </w:rPr>
        <w:t>AU</w:t>
      </w:r>
      <w:r w:rsidR="00AD01D9" w:rsidRPr="00F26427">
        <w:rPr>
          <w:rFonts w:eastAsia="Times New Roman" w:cstheme="minorHAnsi"/>
          <w:lang w:eastAsia="fr-FR"/>
        </w:rPr>
        <w:t xml:space="preserve"> et </w:t>
      </w:r>
      <w:r w:rsidR="006A125F" w:rsidRPr="00F26427">
        <w:rPr>
          <w:rFonts w:eastAsia="Times New Roman" w:cstheme="minorHAnsi"/>
          <w:lang w:eastAsia="fr-FR"/>
        </w:rPr>
        <w:t>A</w:t>
      </w:r>
      <w:r w:rsidR="00AD01D9" w:rsidRPr="00F26427">
        <w:rPr>
          <w:rFonts w:eastAsia="Times New Roman" w:cstheme="minorHAnsi"/>
          <w:lang w:eastAsia="fr-FR"/>
        </w:rPr>
        <w:t xml:space="preserve">. </w:t>
      </w:r>
      <w:r w:rsidR="002D36A6" w:rsidRPr="00F26427">
        <w:rPr>
          <w:rFonts w:eastAsia="Times New Roman" w:cstheme="minorHAnsi"/>
          <w:lang w:eastAsia="fr-FR"/>
        </w:rPr>
        <w:t>Leur répartition est la suivante et ne pourra en aucun cas être modifié.</w:t>
      </w:r>
    </w:p>
    <w:p w14:paraId="14C8F804" w14:textId="2C0C0BA0" w:rsidR="00AD01D9" w:rsidRPr="005F4275" w:rsidRDefault="00AD01D9" w:rsidP="003B5E5A">
      <w:pPr>
        <w:spacing w:after="0" w:line="240" w:lineRule="auto"/>
        <w:jc w:val="both"/>
        <w:rPr>
          <w:rFonts w:eastAsia="Times New Roman" w:cstheme="minorHAnsi"/>
          <w:color w:val="000000"/>
          <w:lang w:eastAsia="fr-FR"/>
        </w:rPr>
      </w:pPr>
    </w:p>
    <w:tbl>
      <w:tblPr>
        <w:tblStyle w:val="Grilledutableau"/>
        <w:tblW w:w="0" w:type="auto"/>
        <w:tblLook w:val="04A0" w:firstRow="1" w:lastRow="0" w:firstColumn="1" w:lastColumn="0" w:noHBand="0" w:noVBand="1"/>
      </w:tblPr>
      <w:tblGrid>
        <w:gridCol w:w="2265"/>
        <w:gridCol w:w="2265"/>
        <w:gridCol w:w="2266"/>
        <w:gridCol w:w="2266"/>
      </w:tblGrid>
      <w:tr w:rsidR="000A0287" w:rsidRPr="005F4275" w14:paraId="1016033B" w14:textId="77777777" w:rsidTr="000A0287">
        <w:tc>
          <w:tcPr>
            <w:tcW w:w="2265" w:type="dxa"/>
          </w:tcPr>
          <w:p w14:paraId="77D7AB5E" w14:textId="63F08373" w:rsidR="000A0287" w:rsidRPr="005F4275" w:rsidRDefault="000A0287" w:rsidP="003B5E5A">
            <w:pPr>
              <w:jc w:val="both"/>
              <w:rPr>
                <w:rFonts w:eastAsia="Times New Roman" w:cstheme="minorHAnsi"/>
                <w:b/>
                <w:bCs/>
                <w:color w:val="000000"/>
                <w:lang w:eastAsia="fr-FR"/>
              </w:rPr>
            </w:pPr>
            <w:r w:rsidRPr="005F4275">
              <w:rPr>
                <w:rFonts w:eastAsia="Times New Roman" w:cstheme="minorHAnsi"/>
                <w:b/>
                <w:bCs/>
                <w:color w:val="000000"/>
                <w:lang w:eastAsia="fr-FR"/>
              </w:rPr>
              <w:t>Numéro de Lot</w:t>
            </w:r>
          </w:p>
        </w:tc>
        <w:tc>
          <w:tcPr>
            <w:tcW w:w="2265" w:type="dxa"/>
          </w:tcPr>
          <w:p w14:paraId="27D62CE3" w14:textId="70D614C3" w:rsidR="000A0287" w:rsidRPr="005F4275" w:rsidRDefault="000A0287" w:rsidP="003B5E5A">
            <w:pPr>
              <w:jc w:val="both"/>
              <w:rPr>
                <w:rFonts w:eastAsia="Times New Roman" w:cstheme="minorHAnsi"/>
                <w:b/>
                <w:bCs/>
                <w:color w:val="000000"/>
                <w:lang w:eastAsia="fr-FR"/>
              </w:rPr>
            </w:pPr>
            <w:r w:rsidRPr="005F4275">
              <w:rPr>
                <w:rFonts w:eastAsia="Times New Roman" w:cstheme="minorHAnsi"/>
                <w:b/>
                <w:bCs/>
                <w:color w:val="000000"/>
                <w:lang w:eastAsia="fr-FR"/>
              </w:rPr>
              <w:t>Surface</w:t>
            </w:r>
            <w:r w:rsidR="00F371C9">
              <w:rPr>
                <w:rFonts w:eastAsia="Times New Roman" w:cstheme="minorHAnsi"/>
                <w:b/>
                <w:bCs/>
                <w:color w:val="000000"/>
                <w:lang w:eastAsia="fr-FR"/>
              </w:rPr>
              <w:t xml:space="preserve"> (m²)</w:t>
            </w:r>
          </w:p>
        </w:tc>
        <w:tc>
          <w:tcPr>
            <w:tcW w:w="2266" w:type="dxa"/>
          </w:tcPr>
          <w:p w14:paraId="5E84BE21" w14:textId="52E314D7" w:rsidR="000A0287" w:rsidRPr="005F4275" w:rsidRDefault="000A0287" w:rsidP="003B5E5A">
            <w:pPr>
              <w:jc w:val="both"/>
              <w:rPr>
                <w:rFonts w:eastAsia="Times New Roman" w:cstheme="minorHAnsi"/>
                <w:b/>
                <w:bCs/>
                <w:color w:val="000000"/>
                <w:lang w:eastAsia="fr-FR"/>
              </w:rPr>
            </w:pPr>
            <w:r w:rsidRPr="005F4275">
              <w:rPr>
                <w:rFonts w:eastAsia="Times New Roman" w:cstheme="minorHAnsi"/>
                <w:b/>
                <w:bCs/>
                <w:color w:val="000000"/>
                <w:lang w:eastAsia="fr-FR"/>
              </w:rPr>
              <w:t>Dont non-constructible</w:t>
            </w:r>
            <w:r w:rsidR="00F371C9">
              <w:rPr>
                <w:rFonts w:eastAsia="Times New Roman" w:cstheme="minorHAnsi"/>
                <w:b/>
                <w:bCs/>
                <w:color w:val="000000"/>
                <w:lang w:eastAsia="fr-FR"/>
              </w:rPr>
              <w:t xml:space="preserve"> (m²)</w:t>
            </w:r>
          </w:p>
        </w:tc>
        <w:tc>
          <w:tcPr>
            <w:tcW w:w="2266" w:type="dxa"/>
          </w:tcPr>
          <w:p w14:paraId="257EE4A3" w14:textId="0CA31A78" w:rsidR="000A0287" w:rsidRPr="005F4275" w:rsidRDefault="00225C89" w:rsidP="003B5E5A">
            <w:pPr>
              <w:jc w:val="both"/>
              <w:rPr>
                <w:rFonts w:eastAsia="Times New Roman" w:cstheme="minorHAnsi"/>
                <w:b/>
                <w:bCs/>
                <w:color w:val="000000"/>
                <w:lang w:eastAsia="fr-FR"/>
              </w:rPr>
            </w:pPr>
            <w:r>
              <w:rPr>
                <w:rFonts w:eastAsia="Times New Roman" w:cstheme="minorHAnsi"/>
                <w:b/>
                <w:bCs/>
                <w:color w:val="000000"/>
                <w:lang w:eastAsia="fr-FR"/>
              </w:rPr>
              <w:t>Prix de vente en €</w:t>
            </w:r>
            <w:r w:rsidR="006B2B08">
              <w:rPr>
                <w:rFonts w:eastAsia="Times New Roman" w:cstheme="minorHAnsi"/>
                <w:b/>
                <w:bCs/>
                <w:color w:val="000000"/>
                <w:lang w:eastAsia="fr-FR"/>
              </w:rPr>
              <w:t xml:space="preserve"> TTC</w:t>
            </w:r>
            <w:r w:rsidR="00C528CE">
              <w:rPr>
                <w:rFonts w:eastAsia="Times New Roman" w:cstheme="minorHAnsi"/>
                <w:b/>
                <w:bCs/>
                <w:color w:val="000000"/>
                <w:lang w:eastAsia="fr-FR"/>
              </w:rPr>
              <w:t xml:space="preserve"> hors frais de notaire</w:t>
            </w:r>
          </w:p>
        </w:tc>
      </w:tr>
      <w:tr w:rsidR="0028509D" w:rsidRPr="005F4275" w14:paraId="5DC154D9" w14:textId="77777777" w:rsidTr="00533AE8">
        <w:tc>
          <w:tcPr>
            <w:tcW w:w="2265" w:type="dxa"/>
          </w:tcPr>
          <w:p w14:paraId="2C4BA010" w14:textId="010CC35B" w:rsidR="0028509D" w:rsidRPr="005F4275" w:rsidRDefault="0028509D" w:rsidP="00CF0E4F">
            <w:pPr>
              <w:jc w:val="center"/>
              <w:rPr>
                <w:rFonts w:eastAsia="Times New Roman" w:cstheme="minorHAnsi"/>
                <w:color w:val="000000"/>
                <w:lang w:eastAsia="fr-FR"/>
              </w:rPr>
            </w:pPr>
            <w:r>
              <w:rPr>
                <w:rFonts w:eastAsia="Times New Roman" w:cstheme="minorHAnsi"/>
                <w:color w:val="000000"/>
                <w:lang w:eastAsia="fr-FR"/>
              </w:rPr>
              <w:t>1</w:t>
            </w:r>
          </w:p>
        </w:tc>
        <w:tc>
          <w:tcPr>
            <w:tcW w:w="6797" w:type="dxa"/>
            <w:gridSpan w:val="3"/>
            <w:vAlign w:val="bottom"/>
          </w:tcPr>
          <w:p w14:paraId="4E459065" w14:textId="64F533AC" w:rsidR="0028509D" w:rsidRPr="005F4275" w:rsidRDefault="0028509D" w:rsidP="00CF0E4F">
            <w:pPr>
              <w:jc w:val="center"/>
              <w:rPr>
                <w:rFonts w:eastAsia="Times New Roman" w:cstheme="minorHAnsi"/>
                <w:color w:val="000000"/>
                <w:lang w:eastAsia="fr-FR"/>
              </w:rPr>
            </w:pPr>
            <w:r>
              <w:rPr>
                <w:rFonts w:eastAsia="Times New Roman" w:cstheme="minorHAnsi"/>
                <w:color w:val="FF0000"/>
                <w:lang w:eastAsia="fr-FR"/>
              </w:rPr>
              <w:t>RESERVEE</w:t>
            </w:r>
          </w:p>
        </w:tc>
      </w:tr>
      <w:tr w:rsidR="00CF0E4F" w:rsidRPr="005F4275" w14:paraId="153B6520" w14:textId="77777777" w:rsidTr="00A027D1">
        <w:tc>
          <w:tcPr>
            <w:tcW w:w="2265" w:type="dxa"/>
          </w:tcPr>
          <w:p w14:paraId="25D0306F" w14:textId="61AF21FE" w:rsidR="00CF0E4F" w:rsidRPr="005F4275" w:rsidRDefault="00CF0E4F" w:rsidP="00CF0E4F">
            <w:pPr>
              <w:jc w:val="center"/>
              <w:rPr>
                <w:rFonts w:eastAsia="Times New Roman" w:cstheme="minorHAnsi"/>
                <w:color w:val="000000"/>
                <w:lang w:eastAsia="fr-FR"/>
              </w:rPr>
            </w:pPr>
            <w:r>
              <w:rPr>
                <w:rFonts w:eastAsia="Times New Roman" w:cstheme="minorHAnsi"/>
                <w:color w:val="000000"/>
                <w:lang w:eastAsia="fr-FR"/>
              </w:rPr>
              <w:t>2</w:t>
            </w:r>
          </w:p>
        </w:tc>
        <w:tc>
          <w:tcPr>
            <w:tcW w:w="2265" w:type="dxa"/>
            <w:vAlign w:val="bottom"/>
          </w:tcPr>
          <w:p w14:paraId="3EDED935" w14:textId="2D8C4F31" w:rsidR="00CF0E4F" w:rsidRPr="005F4275" w:rsidRDefault="00CF0E4F" w:rsidP="00CF0E4F">
            <w:pPr>
              <w:jc w:val="center"/>
              <w:rPr>
                <w:rFonts w:eastAsia="Times New Roman" w:cstheme="minorHAnsi"/>
                <w:color w:val="000000"/>
                <w:lang w:eastAsia="fr-FR"/>
              </w:rPr>
            </w:pPr>
            <w:r>
              <w:rPr>
                <w:rFonts w:ascii="Calibri" w:hAnsi="Calibri" w:cs="Calibri"/>
                <w:color w:val="000000"/>
              </w:rPr>
              <w:t>876</w:t>
            </w:r>
          </w:p>
        </w:tc>
        <w:tc>
          <w:tcPr>
            <w:tcW w:w="2266" w:type="dxa"/>
            <w:vAlign w:val="bottom"/>
          </w:tcPr>
          <w:p w14:paraId="063F99A7" w14:textId="4E5B929D" w:rsidR="00CF0E4F" w:rsidRPr="005F4275" w:rsidRDefault="00CF0E4F" w:rsidP="00CF0E4F">
            <w:pPr>
              <w:jc w:val="center"/>
              <w:rPr>
                <w:rFonts w:eastAsia="Times New Roman" w:cstheme="minorHAnsi"/>
                <w:color w:val="000000"/>
                <w:lang w:eastAsia="fr-FR"/>
              </w:rPr>
            </w:pPr>
            <w:r>
              <w:rPr>
                <w:rFonts w:ascii="Calibri" w:hAnsi="Calibri" w:cs="Calibri"/>
                <w:color w:val="000000"/>
              </w:rPr>
              <w:t>336</w:t>
            </w:r>
          </w:p>
        </w:tc>
        <w:tc>
          <w:tcPr>
            <w:tcW w:w="2266" w:type="dxa"/>
            <w:vAlign w:val="center"/>
          </w:tcPr>
          <w:p w14:paraId="50F65583" w14:textId="12C7170D" w:rsidR="00CF0E4F" w:rsidRPr="005F4275" w:rsidRDefault="00CF0E4F" w:rsidP="00CF0E4F">
            <w:pPr>
              <w:jc w:val="center"/>
              <w:rPr>
                <w:rFonts w:eastAsia="Times New Roman" w:cstheme="minorHAnsi"/>
                <w:color w:val="000000"/>
                <w:lang w:eastAsia="fr-FR"/>
              </w:rPr>
            </w:pPr>
            <w:r>
              <w:rPr>
                <w:rFonts w:ascii="Calibri" w:hAnsi="Calibri" w:cs="Calibri"/>
                <w:color w:val="000000"/>
              </w:rPr>
              <w:t xml:space="preserve">          40 140,00 € </w:t>
            </w:r>
          </w:p>
        </w:tc>
      </w:tr>
      <w:tr w:rsidR="00CF0E4F" w:rsidRPr="005F4275" w14:paraId="073689FA" w14:textId="77777777" w:rsidTr="00A027D1">
        <w:tc>
          <w:tcPr>
            <w:tcW w:w="2265" w:type="dxa"/>
          </w:tcPr>
          <w:p w14:paraId="44248044" w14:textId="16B8065D" w:rsidR="00CF0E4F" w:rsidRPr="005F4275" w:rsidRDefault="00CF0E4F" w:rsidP="00CF0E4F">
            <w:pPr>
              <w:jc w:val="center"/>
              <w:rPr>
                <w:rFonts w:eastAsia="Times New Roman" w:cstheme="minorHAnsi"/>
                <w:color w:val="000000"/>
                <w:lang w:eastAsia="fr-FR"/>
              </w:rPr>
            </w:pPr>
            <w:r>
              <w:rPr>
                <w:rFonts w:eastAsia="Times New Roman" w:cstheme="minorHAnsi"/>
                <w:color w:val="000000"/>
                <w:lang w:eastAsia="fr-FR"/>
              </w:rPr>
              <w:t>3</w:t>
            </w:r>
          </w:p>
        </w:tc>
        <w:tc>
          <w:tcPr>
            <w:tcW w:w="2265" w:type="dxa"/>
            <w:vAlign w:val="bottom"/>
          </w:tcPr>
          <w:p w14:paraId="475996FB" w14:textId="7AC6C5D7" w:rsidR="00CF0E4F" w:rsidRPr="005F4275" w:rsidRDefault="00CF0E4F" w:rsidP="00CF0E4F">
            <w:pPr>
              <w:jc w:val="center"/>
              <w:rPr>
                <w:rFonts w:eastAsia="Times New Roman" w:cstheme="minorHAnsi"/>
                <w:color w:val="000000"/>
                <w:lang w:eastAsia="fr-FR"/>
              </w:rPr>
            </w:pPr>
            <w:r>
              <w:rPr>
                <w:rFonts w:ascii="Calibri" w:hAnsi="Calibri" w:cs="Calibri"/>
                <w:color w:val="000000"/>
              </w:rPr>
              <w:t>847</w:t>
            </w:r>
          </w:p>
        </w:tc>
        <w:tc>
          <w:tcPr>
            <w:tcW w:w="2266" w:type="dxa"/>
            <w:vAlign w:val="bottom"/>
          </w:tcPr>
          <w:p w14:paraId="5301F2B3" w14:textId="2A147A17" w:rsidR="00CF0E4F" w:rsidRPr="005F4275" w:rsidRDefault="00CF0E4F" w:rsidP="00CF0E4F">
            <w:pPr>
              <w:jc w:val="center"/>
              <w:rPr>
                <w:rFonts w:eastAsia="Times New Roman" w:cstheme="minorHAnsi"/>
                <w:color w:val="000000"/>
                <w:lang w:eastAsia="fr-FR"/>
              </w:rPr>
            </w:pPr>
            <w:r>
              <w:rPr>
                <w:rFonts w:ascii="Calibri" w:hAnsi="Calibri" w:cs="Calibri"/>
                <w:color w:val="000000"/>
              </w:rPr>
              <w:t>525</w:t>
            </w:r>
          </w:p>
        </w:tc>
        <w:tc>
          <w:tcPr>
            <w:tcW w:w="2266" w:type="dxa"/>
            <w:vAlign w:val="center"/>
          </w:tcPr>
          <w:p w14:paraId="0CC89CDD" w14:textId="027BAEFE" w:rsidR="00CF0E4F" w:rsidRPr="005F4275" w:rsidRDefault="00CF0E4F" w:rsidP="00CF0E4F">
            <w:pPr>
              <w:jc w:val="center"/>
              <w:rPr>
                <w:rFonts w:eastAsia="Times New Roman" w:cstheme="minorHAnsi"/>
                <w:color w:val="000000"/>
                <w:lang w:eastAsia="fr-FR"/>
              </w:rPr>
            </w:pPr>
            <w:r>
              <w:rPr>
                <w:rFonts w:ascii="Calibri" w:hAnsi="Calibri" w:cs="Calibri"/>
                <w:color w:val="000000"/>
              </w:rPr>
              <w:t xml:space="preserve">          27 195,00 € </w:t>
            </w:r>
          </w:p>
        </w:tc>
      </w:tr>
      <w:tr w:rsidR="00CF0E4F" w:rsidRPr="005F4275" w14:paraId="082E41A3" w14:textId="77777777" w:rsidTr="00A027D1">
        <w:tc>
          <w:tcPr>
            <w:tcW w:w="2265" w:type="dxa"/>
          </w:tcPr>
          <w:p w14:paraId="3EB60E73" w14:textId="2CD8CABE" w:rsidR="00CF0E4F" w:rsidRPr="005F4275" w:rsidRDefault="00CF0E4F" w:rsidP="00CF0E4F">
            <w:pPr>
              <w:jc w:val="center"/>
              <w:rPr>
                <w:rFonts w:eastAsia="Times New Roman" w:cstheme="minorHAnsi"/>
                <w:color w:val="000000"/>
                <w:lang w:eastAsia="fr-FR"/>
              </w:rPr>
            </w:pPr>
            <w:r>
              <w:rPr>
                <w:rFonts w:eastAsia="Times New Roman" w:cstheme="minorHAnsi"/>
                <w:color w:val="000000"/>
                <w:lang w:eastAsia="fr-FR"/>
              </w:rPr>
              <w:t>4</w:t>
            </w:r>
          </w:p>
        </w:tc>
        <w:tc>
          <w:tcPr>
            <w:tcW w:w="2265" w:type="dxa"/>
            <w:vAlign w:val="bottom"/>
          </w:tcPr>
          <w:p w14:paraId="69552A1E" w14:textId="36A0CE67" w:rsidR="00CF0E4F" w:rsidRPr="005F4275" w:rsidRDefault="00CF0E4F" w:rsidP="00CF0E4F">
            <w:pPr>
              <w:jc w:val="center"/>
              <w:rPr>
                <w:rFonts w:eastAsia="Times New Roman" w:cstheme="minorHAnsi"/>
                <w:color w:val="000000"/>
                <w:lang w:eastAsia="fr-FR"/>
              </w:rPr>
            </w:pPr>
            <w:r>
              <w:rPr>
                <w:rFonts w:ascii="Calibri" w:hAnsi="Calibri" w:cs="Calibri"/>
                <w:color w:val="000000"/>
              </w:rPr>
              <w:t>899</w:t>
            </w:r>
          </w:p>
        </w:tc>
        <w:tc>
          <w:tcPr>
            <w:tcW w:w="2266" w:type="dxa"/>
            <w:vAlign w:val="bottom"/>
          </w:tcPr>
          <w:p w14:paraId="033DA0A9" w14:textId="6E9C81CB" w:rsidR="00CF0E4F" w:rsidRPr="005F4275" w:rsidRDefault="00CF0E4F" w:rsidP="00CF0E4F">
            <w:pPr>
              <w:jc w:val="center"/>
              <w:rPr>
                <w:rFonts w:eastAsia="Times New Roman" w:cstheme="minorHAnsi"/>
                <w:color w:val="000000"/>
                <w:lang w:eastAsia="fr-FR"/>
              </w:rPr>
            </w:pPr>
            <w:r>
              <w:rPr>
                <w:rFonts w:ascii="Calibri" w:hAnsi="Calibri" w:cs="Calibri"/>
                <w:color w:val="000000"/>
              </w:rPr>
              <w:t>483</w:t>
            </w:r>
          </w:p>
        </w:tc>
        <w:tc>
          <w:tcPr>
            <w:tcW w:w="2266" w:type="dxa"/>
            <w:vAlign w:val="center"/>
          </w:tcPr>
          <w:p w14:paraId="6E492C1D" w14:textId="5DF4F673" w:rsidR="00CF0E4F" w:rsidRPr="005F4275" w:rsidRDefault="00CF0E4F" w:rsidP="00CF0E4F">
            <w:pPr>
              <w:jc w:val="center"/>
              <w:rPr>
                <w:rFonts w:eastAsia="Times New Roman" w:cstheme="minorHAnsi"/>
                <w:color w:val="000000"/>
                <w:lang w:eastAsia="fr-FR"/>
              </w:rPr>
            </w:pPr>
            <w:r>
              <w:rPr>
                <w:rFonts w:ascii="Calibri" w:hAnsi="Calibri" w:cs="Calibri"/>
                <w:color w:val="000000"/>
              </w:rPr>
              <w:t xml:space="preserve">          32 205,00 € </w:t>
            </w:r>
          </w:p>
        </w:tc>
      </w:tr>
      <w:tr w:rsidR="00460A58" w:rsidRPr="005F4275" w14:paraId="41AC0D95" w14:textId="77777777" w:rsidTr="002F7511">
        <w:tc>
          <w:tcPr>
            <w:tcW w:w="2265" w:type="dxa"/>
          </w:tcPr>
          <w:p w14:paraId="4458B3DA" w14:textId="13E6B444" w:rsidR="00460A58" w:rsidRPr="005F4275" w:rsidRDefault="00460A58" w:rsidP="00CF0E4F">
            <w:pPr>
              <w:jc w:val="center"/>
              <w:rPr>
                <w:rFonts w:eastAsia="Times New Roman" w:cstheme="minorHAnsi"/>
                <w:color w:val="000000"/>
                <w:lang w:eastAsia="fr-FR"/>
              </w:rPr>
            </w:pPr>
            <w:r>
              <w:rPr>
                <w:rFonts w:eastAsia="Times New Roman" w:cstheme="minorHAnsi"/>
                <w:color w:val="000000"/>
                <w:lang w:eastAsia="fr-FR"/>
              </w:rPr>
              <w:t>5</w:t>
            </w:r>
          </w:p>
        </w:tc>
        <w:tc>
          <w:tcPr>
            <w:tcW w:w="6797" w:type="dxa"/>
            <w:gridSpan w:val="3"/>
            <w:vAlign w:val="bottom"/>
          </w:tcPr>
          <w:p w14:paraId="3382F2DE" w14:textId="343F2772" w:rsidR="00460A58" w:rsidRPr="002F3337" w:rsidRDefault="00B41F56" w:rsidP="00CF0E4F">
            <w:pPr>
              <w:jc w:val="center"/>
              <w:rPr>
                <w:rFonts w:eastAsia="Times New Roman" w:cstheme="minorHAnsi"/>
                <w:color w:val="FF0000"/>
                <w:lang w:eastAsia="fr-FR"/>
              </w:rPr>
            </w:pPr>
            <w:r>
              <w:rPr>
                <w:rFonts w:eastAsia="Times New Roman" w:cstheme="minorHAnsi"/>
                <w:color w:val="FF0000"/>
                <w:lang w:eastAsia="fr-FR"/>
              </w:rPr>
              <w:t>RESERVEE</w:t>
            </w:r>
          </w:p>
        </w:tc>
      </w:tr>
      <w:tr w:rsidR="00460A58" w:rsidRPr="005F4275" w14:paraId="1E61C148" w14:textId="77777777" w:rsidTr="004D7F6E">
        <w:tc>
          <w:tcPr>
            <w:tcW w:w="2265" w:type="dxa"/>
          </w:tcPr>
          <w:p w14:paraId="7B06466E" w14:textId="149E54FF" w:rsidR="00460A58" w:rsidRPr="005F4275" w:rsidRDefault="00460A58" w:rsidP="00CF0E4F">
            <w:pPr>
              <w:jc w:val="center"/>
              <w:rPr>
                <w:rFonts w:eastAsia="Times New Roman" w:cstheme="minorHAnsi"/>
                <w:color w:val="000000"/>
                <w:lang w:eastAsia="fr-FR"/>
              </w:rPr>
            </w:pPr>
            <w:r>
              <w:rPr>
                <w:rFonts w:eastAsia="Times New Roman" w:cstheme="minorHAnsi"/>
                <w:color w:val="000000"/>
                <w:lang w:eastAsia="fr-FR"/>
              </w:rPr>
              <w:t>6</w:t>
            </w:r>
          </w:p>
        </w:tc>
        <w:tc>
          <w:tcPr>
            <w:tcW w:w="6797" w:type="dxa"/>
            <w:gridSpan w:val="3"/>
            <w:vAlign w:val="bottom"/>
          </w:tcPr>
          <w:p w14:paraId="695FE1AE" w14:textId="52C85E47" w:rsidR="00460A58" w:rsidRPr="002F3337" w:rsidRDefault="00B41F56" w:rsidP="00CF0E4F">
            <w:pPr>
              <w:jc w:val="center"/>
              <w:rPr>
                <w:rFonts w:eastAsia="Times New Roman" w:cstheme="minorHAnsi"/>
                <w:color w:val="FF0000"/>
                <w:lang w:eastAsia="fr-FR"/>
              </w:rPr>
            </w:pPr>
            <w:r>
              <w:rPr>
                <w:rFonts w:eastAsia="Times New Roman" w:cstheme="minorHAnsi"/>
                <w:color w:val="FF0000"/>
                <w:lang w:eastAsia="fr-FR"/>
              </w:rPr>
              <w:t>RESERVEE</w:t>
            </w:r>
          </w:p>
        </w:tc>
      </w:tr>
      <w:tr w:rsidR="00460A58" w:rsidRPr="005F4275" w14:paraId="79F31F6E" w14:textId="77777777" w:rsidTr="0019796E">
        <w:tc>
          <w:tcPr>
            <w:tcW w:w="2265" w:type="dxa"/>
          </w:tcPr>
          <w:p w14:paraId="022FDC41" w14:textId="192F6845" w:rsidR="00460A58" w:rsidRPr="005F4275" w:rsidRDefault="00460A58" w:rsidP="00CF0E4F">
            <w:pPr>
              <w:jc w:val="center"/>
              <w:rPr>
                <w:rFonts w:eastAsia="Times New Roman" w:cstheme="minorHAnsi"/>
                <w:color w:val="000000"/>
                <w:lang w:eastAsia="fr-FR"/>
              </w:rPr>
            </w:pPr>
            <w:r>
              <w:rPr>
                <w:rFonts w:eastAsia="Times New Roman" w:cstheme="minorHAnsi"/>
                <w:color w:val="000000"/>
                <w:lang w:eastAsia="fr-FR"/>
              </w:rPr>
              <w:t>7</w:t>
            </w:r>
          </w:p>
        </w:tc>
        <w:tc>
          <w:tcPr>
            <w:tcW w:w="6797" w:type="dxa"/>
            <w:gridSpan w:val="3"/>
            <w:vAlign w:val="bottom"/>
          </w:tcPr>
          <w:p w14:paraId="4F9749B2" w14:textId="00CD6EAE" w:rsidR="00460A58" w:rsidRPr="002F3337" w:rsidRDefault="00B41F56" w:rsidP="00CF0E4F">
            <w:pPr>
              <w:jc w:val="center"/>
              <w:rPr>
                <w:rFonts w:eastAsia="Times New Roman" w:cstheme="minorHAnsi"/>
                <w:color w:val="FF0000"/>
                <w:lang w:eastAsia="fr-FR"/>
              </w:rPr>
            </w:pPr>
            <w:r>
              <w:rPr>
                <w:rFonts w:eastAsia="Times New Roman" w:cstheme="minorHAnsi"/>
                <w:color w:val="FF0000"/>
                <w:lang w:eastAsia="fr-FR"/>
              </w:rPr>
              <w:t>RESERVEE</w:t>
            </w:r>
          </w:p>
        </w:tc>
      </w:tr>
      <w:tr w:rsidR="0028509D" w:rsidRPr="005F4275" w14:paraId="1980B6CB" w14:textId="77777777" w:rsidTr="002A2C50">
        <w:tc>
          <w:tcPr>
            <w:tcW w:w="2265" w:type="dxa"/>
          </w:tcPr>
          <w:p w14:paraId="2BCFB096" w14:textId="4ABFEA4B" w:rsidR="0028509D" w:rsidRPr="005F4275" w:rsidRDefault="0028509D" w:rsidP="00CF0E4F">
            <w:pPr>
              <w:jc w:val="center"/>
              <w:rPr>
                <w:rFonts w:eastAsia="Times New Roman" w:cstheme="minorHAnsi"/>
                <w:color w:val="000000"/>
                <w:lang w:eastAsia="fr-FR"/>
              </w:rPr>
            </w:pPr>
            <w:r>
              <w:rPr>
                <w:rFonts w:eastAsia="Times New Roman" w:cstheme="minorHAnsi"/>
                <w:color w:val="000000"/>
                <w:lang w:eastAsia="fr-FR"/>
              </w:rPr>
              <w:t>8</w:t>
            </w:r>
          </w:p>
        </w:tc>
        <w:tc>
          <w:tcPr>
            <w:tcW w:w="6797" w:type="dxa"/>
            <w:gridSpan w:val="3"/>
            <w:vAlign w:val="bottom"/>
          </w:tcPr>
          <w:p w14:paraId="400BA333" w14:textId="26AA370C" w:rsidR="0028509D" w:rsidRPr="005F4275" w:rsidRDefault="0028509D" w:rsidP="00CF0E4F">
            <w:pPr>
              <w:jc w:val="center"/>
              <w:rPr>
                <w:rFonts w:eastAsia="Times New Roman" w:cstheme="minorHAnsi"/>
                <w:color w:val="000000"/>
                <w:lang w:eastAsia="fr-FR"/>
              </w:rPr>
            </w:pPr>
            <w:r>
              <w:rPr>
                <w:rFonts w:eastAsia="Times New Roman" w:cstheme="minorHAnsi"/>
                <w:color w:val="FF0000"/>
                <w:lang w:eastAsia="fr-FR"/>
              </w:rPr>
              <w:t>RESERVEE</w:t>
            </w:r>
          </w:p>
        </w:tc>
      </w:tr>
      <w:tr w:rsidR="00460A58" w:rsidRPr="005F4275" w14:paraId="4B83F7D3" w14:textId="77777777" w:rsidTr="00283FFF">
        <w:tc>
          <w:tcPr>
            <w:tcW w:w="2265" w:type="dxa"/>
          </w:tcPr>
          <w:p w14:paraId="3614BAD5" w14:textId="3F8C272C" w:rsidR="00460A58" w:rsidRPr="005F4275" w:rsidRDefault="00460A58" w:rsidP="00CF0E4F">
            <w:pPr>
              <w:jc w:val="center"/>
              <w:rPr>
                <w:rFonts w:eastAsia="Times New Roman" w:cstheme="minorHAnsi"/>
                <w:color w:val="000000"/>
                <w:lang w:eastAsia="fr-FR"/>
              </w:rPr>
            </w:pPr>
            <w:r>
              <w:rPr>
                <w:rFonts w:eastAsia="Times New Roman" w:cstheme="minorHAnsi"/>
                <w:color w:val="000000"/>
                <w:lang w:eastAsia="fr-FR"/>
              </w:rPr>
              <w:t>9</w:t>
            </w:r>
          </w:p>
        </w:tc>
        <w:tc>
          <w:tcPr>
            <w:tcW w:w="6797" w:type="dxa"/>
            <w:gridSpan w:val="3"/>
            <w:vAlign w:val="bottom"/>
          </w:tcPr>
          <w:p w14:paraId="46D098D5" w14:textId="156D9145" w:rsidR="00460A58" w:rsidRPr="002F3337" w:rsidRDefault="00B41F56" w:rsidP="00CF0E4F">
            <w:pPr>
              <w:jc w:val="center"/>
              <w:rPr>
                <w:rFonts w:eastAsia="Times New Roman" w:cstheme="minorHAnsi"/>
                <w:color w:val="FF0000"/>
                <w:lang w:eastAsia="fr-FR"/>
              </w:rPr>
            </w:pPr>
            <w:r>
              <w:rPr>
                <w:rFonts w:eastAsia="Times New Roman" w:cstheme="minorHAnsi"/>
                <w:color w:val="FF0000"/>
                <w:lang w:eastAsia="fr-FR"/>
              </w:rPr>
              <w:t>RESERVEE</w:t>
            </w:r>
          </w:p>
        </w:tc>
      </w:tr>
      <w:tr w:rsidR="00460A58" w:rsidRPr="005F4275" w14:paraId="0F927363" w14:textId="77777777" w:rsidTr="001629A0">
        <w:tc>
          <w:tcPr>
            <w:tcW w:w="2265" w:type="dxa"/>
          </w:tcPr>
          <w:p w14:paraId="528366F1" w14:textId="4A794097" w:rsidR="00460A58" w:rsidRPr="005F4275" w:rsidRDefault="00460A58" w:rsidP="00CF0E4F">
            <w:pPr>
              <w:jc w:val="center"/>
              <w:rPr>
                <w:rFonts w:eastAsia="Times New Roman" w:cstheme="minorHAnsi"/>
                <w:color w:val="000000"/>
                <w:lang w:eastAsia="fr-FR"/>
              </w:rPr>
            </w:pPr>
            <w:r>
              <w:rPr>
                <w:rFonts w:eastAsia="Times New Roman" w:cstheme="minorHAnsi"/>
                <w:color w:val="000000"/>
                <w:lang w:eastAsia="fr-FR"/>
              </w:rPr>
              <w:t>10</w:t>
            </w:r>
          </w:p>
        </w:tc>
        <w:tc>
          <w:tcPr>
            <w:tcW w:w="6797" w:type="dxa"/>
            <w:gridSpan w:val="3"/>
            <w:vAlign w:val="bottom"/>
          </w:tcPr>
          <w:p w14:paraId="6E4CB396" w14:textId="4799986E" w:rsidR="00460A58" w:rsidRPr="002F3337" w:rsidRDefault="00B41F56" w:rsidP="00CF0E4F">
            <w:pPr>
              <w:jc w:val="center"/>
              <w:rPr>
                <w:rFonts w:eastAsia="Times New Roman" w:cstheme="minorHAnsi"/>
                <w:color w:val="FF0000"/>
                <w:lang w:eastAsia="fr-FR"/>
              </w:rPr>
            </w:pPr>
            <w:r>
              <w:rPr>
                <w:rFonts w:eastAsia="Times New Roman" w:cstheme="minorHAnsi"/>
                <w:color w:val="FF0000"/>
                <w:lang w:eastAsia="fr-FR"/>
              </w:rPr>
              <w:t>RESERVEE</w:t>
            </w:r>
          </w:p>
        </w:tc>
      </w:tr>
      <w:tr w:rsidR="00CF0E4F" w:rsidRPr="005F4275" w14:paraId="20271F0D" w14:textId="77777777" w:rsidTr="00A027D1">
        <w:tc>
          <w:tcPr>
            <w:tcW w:w="2265" w:type="dxa"/>
          </w:tcPr>
          <w:p w14:paraId="569AFC2F" w14:textId="7BADACE6" w:rsidR="00CF0E4F" w:rsidRPr="005F4275" w:rsidRDefault="00CF0E4F" w:rsidP="00CF0E4F">
            <w:pPr>
              <w:jc w:val="center"/>
              <w:rPr>
                <w:rFonts w:eastAsia="Times New Roman" w:cstheme="minorHAnsi"/>
                <w:color w:val="000000"/>
                <w:lang w:eastAsia="fr-FR"/>
              </w:rPr>
            </w:pPr>
            <w:r>
              <w:rPr>
                <w:rFonts w:eastAsia="Times New Roman" w:cstheme="minorHAnsi"/>
                <w:color w:val="000000"/>
                <w:lang w:eastAsia="fr-FR"/>
              </w:rPr>
              <w:t>11</w:t>
            </w:r>
          </w:p>
        </w:tc>
        <w:tc>
          <w:tcPr>
            <w:tcW w:w="2265" w:type="dxa"/>
            <w:vAlign w:val="bottom"/>
          </w:tcPr>
          <w:p w14:paraId="12C98E10" w14:textId="1E917AE8" w:rsidR="00CF0E4F" w:rsidRPr="005F4275" w:rsidRDefault="00CF0E4F" w:rsidP="00CF0E4F">
            <w:pPr>
              <w:jc w:val="center"/>
              <w:rPr>
                <w:rFonts w:eastAsia="Times New Roman" w:cstheme="minorHAnsi"/>
                <w:color w:val="000000"/>
                <w:lang w:eastAsia="fr-FR"/>
              </w:rPr>
            </w:pPr>
            <w:r>
              <w:rPr>
                <w:rFonts w:ascii="Calibri" w:hAnsi="Calibri" w:cs="Calibri"/>
                <w:color w:val="000000"/>
              </w:rPr>
              <w:t>773</w:t>
            </w:r>
          </w:p>
        </w:tc>
        <w:tc>
          <w:tcPr>
            <w:tcW w:w="2266" w:type="dxa"/>
            <w:vAlign w:val="bottom"/>
          </w:tcPr>
          <w:p w14:paraId="595BC05F" w14:textId="04CBD690" w:rsidR="00CF0E4F" w:rsidRPr="005F4275" w:rsidRDefault="00CF0E4F" w:rsidP="00CF0E4F">
            <w:pPr>
              <w:jc w:val="center"/>
              <w:rPr>
                <w:rFonts w:eastAsia="Times New Roman" w:cstheme="minorHAnsi"/>
                <w:color w:val="000000"/>
                <w:lang w:eastAsia="fr-FR"/>
              </w:rPr>
            </w:pPr>
            <w:r>
              <w:rPr>
                <w:rFonts w:ascii="Calibri" w:hAnsi="Calibri" w:cs="Calibri"/>
                <w:color w:val="000000"/>
              </w:rPr>
              <w:t>289</w:t>
            </w:r>
          </w:p>
        </w:tc>
        <w:tc>
          <w:tcPr>
            <w:tcW w:w="2266" w:type="dxa"/>
            <w:vAlign w:val="center"/>
          </w:tcPr>
          <w:p w14:paraId="2FEFDE12" w14:textId="340B6DD1" w:rsidR="00CF0E4F" w:rsidRPr="005F4275" w:rsidRDefault="00CF0E4F" w:rsidP="00CF0E4F">
            <w:pPr>
              <w:jc w:val="center"/>
              <w:rPr>
                <w:rFonts w:eastAsia="Times New Roman" w:cstheme="minorHAnsi"/>
                <w:color w:val="000000"/>
                <w:lang w:eastAsia="fr-FR"/>
              </w:rPr>
            </w:pPr>
            <w:r>
              <w:rPr>
                <w:rFonts w:ascii="Calibri" w:hAnsi="Calibri" w:cs="Calibri"/>
                <w:color w:val="000000"/>
              </w:rPr>
              <w:t xml:space="preserve">          33 375,00 € </w:t>
            </w:r>
          </w:p>
        </w:tc>
      </w:tr>
      <w:tr w:rsidR="00CF0E4F" w:rsidRPr="005F4275" w14:paraId="36DE662A" w14:textId="77777777" w:rsidTr="00A027D1">
        <w:tc>
          <w:tcPr>
            <w:tcW w:w="2265" w:type="dxa"/>
          </w:tcPr>
          <w:p w14:paraId="2AD7F2BB" w14:textId="17DC8A0D" w:rsidR="00CF0E4F" w:rsidRPr="005F4275" w:rsidRDefault="00CF0E4F" w:rsidP="00CF0E4F">
            <w:pPr>
              <w:jc w:val="center"/>
              <w:rPr>
                <w:rFonts w:eastAsia="Times New Roman" w:cstheme="minorHAnsi"/>
                <w:color w:val="000000"/>
                <w:lang w:eastAsia="fr-FR"/>
              </w:rPr>
            </w:pPr>
            <w:r>
              <w:rPr>
                <w:rFonts w:eastAsia="Times New Roman" w:cstheme="minorHAnsi"/>
                <w:color w:val="000000"/>
                <w:lang w:eastAsia="fr-FR"/>
              </w:rPr>
              <w:t>12</w:t>
            </w:r>
          </w:p>
        </w:tc>
        <w:tc>
          <w:tcPr>
            <w:tcW w:w="2265" w:type="dxa"/>
            <w:vAlign w:val="bottom"/>
          </w:tcPr>
          <w:p w14:paraId="3987C188" w14:textId="4E24E5DB" w:rsidR="00CF0E4F" w:rsidRPr="005F4275" w:rsidRDefault="00CF0E4F" w:rsidP="00CF0E4F">
            <w:pPr>
              <w:jc w:val="center"/>
              <w:rPr>
                <w:rFonts w:eastAsia="Times New Roman" w:cstheme="minorHAnsi"/>
                <w:color w:val="000000"/>
                <w:lang w:eastAsia="fr-FR"/>
              </w:rPr>
            </w:pPr>
            <w:r>
              <w:rPr>
                <w:rFonts w:ascii="Calibri" w:hAnsi="Calibri" w:cs="Calibri"/>
                <w:color w:val="000000"/>
              </w:rPr>
              <w:t>946</w:t>
            </w:r>
          </w:p>
        </w:tc>
        <w:tc>
          <w:tcPr>
            <w:tcW w:w="2266" w:type="dxa"/>
            <w:vAlign w:val="bottom"/>
          </w:tcPr>
          <w:p w14:paraId="281850D4" w14:textId="1AF2FCA6" w:rsidR="00CF0E4F" w:rsidRPr="005F4275" w:rsidRDefault="00CF0E4F" w:rsidP="00CF0E4F">
            <w:pPr>
              <w:jc w:val="center"/>
              <w:rPr>
                <w:rFonts w:eastAsia="Times New Roman" w:cstheme="minorHAnsi"/>
                <w:color w:val="000000"/>
                <w:lang w:eastAsia="fr-FR"/>
              </w:rPr>
            </w:pPr>
            <w:r>
              <w:rPr>
                <w:rFonts w:ascii="Calibri" w:hAnsi="Calibri" w:cs="Calibri"/>
                <w:color w:val="000000"/>
              </w:rPr>
              <w:t>574</w:t>
            </w:r>
          </w:p>
        </w:tc>
        <w:tc>
          <w:tcPr>
            <w:tcW w:w="2266" w:type="dxa"/>
            <w:vAlign w:val="center"/>
          </w:tcPr>
          <w:p w14:paraId="47E1A75D" w14:textId="3580C690" w:rsidR="00CF0E4F" w:rsidRPr="005F4275" w:rsidRDefault="00CF0E4F" w:rsidP="00CF0E4F">
            <w:pPr>
              <w:jc w:val="center"/>
              <w:rPr>
                <w:rFonts w:eastAsia="Times New Roman" w:cstheme="minorHAnsi"/>
                <w:color w:val="000000"/>
                <w:lang w:eastAsia="fr-FR"/>
              </w:rPr>
            </w:pPr>
            <w:r>
              <w:rPr>
                <w:rFonts w:ascii="Calibri" w:hAnsi="Calibri" w:cs="Calibri"/>
                <w:color w:val="000000"/>
              </w:rPr>
              <w:t xml:space="preserve">          29 070,00 € </w:t>
            </w:r>
          </w:p>
        </w:tc>
      </w:tr>
      <w:tr w:rsidR="00CF0E4F" w:rsidRPr="005F4275" w14:paraId="08921907" w14:textId="77777777" w:rsidTr="00A027D1">
        <w:tc>
          <w:tcPr>
            <w:tcW w:w="2265" w:type="dxa"/>
          </w:tcPr>
          <w:p w14:paraId="5BBBFE77" w14:textId="235F6F50" w:rsidR="00CF0E4F" w:rsidRPr="005F4275" w:rsidRDefault="00CF0E4F" w:rsidP="00CF0E4F">
            <w:pPr>
              <w:jc w:val="center"/>
              <w:rPr>
                <w:rFonts w:eastAsia="Times New Roman" w:cstheme="minorHAnsi"/>
                <w:color w:val="000000"/>
                <w:lang w:eastAsia="fr-FR"/>
              </w:rPr>
            </w:pPr>
            <w:r>
              <w:rPr>
                <w:rFonts w:eastAsia="Times New Roman" w:cstheme="minorHAnsi"/>
                <w:color w:val="000000"/>
                <w:lang w:eastAsia="fr-FR"/>
              </w:rPr>
              <w:t>13</w:t>
            </w:r>
          </w:p>
        </w:tc>
        <w:tc>
          <w:tcPr>
            <w:tcW w:w="2265" w:type="dxa"/>
            <w:vAlign w:val="bottom"/>
          </w:tcPr>
          <w:p w14:paraId="561DFC7D" w14:textId="7892D8A6" w:rsidR="00CF0E4F" w:rsidRPr="005F4275" w:rsidRDefault="00CF0E4F" w:rsidP="00CF0E4F">
            <w:pPr>
              <w:jc w:val="center"/>
              <w:rPr>
                <w:rFonts w:eastAsia="Times New Roman" w:cstheme="minorHAnsi"/>
                <w:color w:val="000000"/>
                <w:lang w:eastAsia="fr-FR"/>
              </w:rPr>
            </w:pPr>
            <w:r>
              <w:rPr>
                <w:rFonts w:ascii="Calibri" w:hAnsi="Calibri" w:cs="Calibri"/>
                <w:color w:val="000000"/>
              </w:rPr>
              <w:t>834</w:t>
            </w:r>
          </w:p>
        </w:tc>
        <w:tc>
          <w:tcPr>
            <w:tcW w:w="2266" w:type="dxa"/>
            <w:vAlign w:val="bottom"/>
          </w:tcPr>
          <w:p w14:paraId="576C1868" w14:textId="76D337D4" w:rsidR="00CF0E4F" w:rsidRPr="005F4275" w:rsidRDefault="00CF0E4F" w:rsidP="00CF0E4F">
            <w:pPr>
              <w:jc w:val="center"/>
              <w:rPr>
                <w:rFonts w:eastAsia="Times New Roman" w:cstheme="minorHAnsi"/>
                <w:color w:val="000000"/>
                <w:lang w:eastAsia="fr-FR"/>
              </w:rPr>
            </w:pPr>
            <w:r>
              <w:rPr>
                <w:rFonts w:ascii="Calibri" w:hAnsi="Calibri" w:cs="Calibri"/>
                <w:color w:val="000000"/>
              </w:rPr>
              <w:t>199</w:t>
            </w:r>
          </w:p>
        </w:tc>
        <w:tc>
          <w:tcPr>
            <w:tcW w:w="2266" w:type="dxa"/>
            <w:vAlign w:val="center"/>
          </w:tcPr>
          <w:p w14:paraId="68F1352E" w14:textId="284E61C6" w:rsidR="00CF0E4F" w:rsidRPr="005F4275" w:rsidRDefault="00CF0E4F" w:rsidP="00CF0E4F">
            <w:pPr>
              <w:jc w:val="center"/>
              <w:rPr>
                <w:rFonts w:eastAsia="Times New Roman" w:cstheme="minorHAnsi"/>
                <w:color w:val="000000"/>
                <w:lang w:eastAsia="fr-FR"/>
              </w:rPr>
            </w:pPr>
            <w:r>
              <w:rPr>
                <w:rFonts w:ascii="Calibri" w:hAnsi="Calibri" w:cs="Calibri"/>
                <w:color w:val="000000"/>
              </w:rPr>
              <w:t xml:space="preserve">          34 735,00 € </w:t>
            </w:r>
          </w:p>
        </w:tc>
      </w:tr>
      <w:tr w:rsidR="00CF0E4F" w:rsidRPr="005F4275" w14:paraId="09C847C0" w14:textId="77777777" w:rsidTr="00A027D1">
        <w:tc>
          <w:tcPr>
            <w:tcW w:w="2265" w:type="dxa"/>
          </w:tcPr>
          <w:p w14:paraId="6F1E2C2A" w14:textId="2AB2DB72" w:rsidR="00CF0E4F" w:rsidRPr="005F4275" w:rsidRDefault="00CF0E4F" w:rsidP="00CF0E4F">
            <w:pPr>
              <w:jc w:val="center"/>
              <w:rPr>
                <w:rFonts w:eastAsia="Times New Roman" w:cstheme="minorHAnsi"/>
                <w:color w:val="000000"/>
                <w:lang w:eastAsia="fr-FR"/>
              </w:rPr>
            </w:pPr>
            <w:r>
              <w:rPr>
                <w:rFonts w:eastAsia="Times New Roman" w:cstheme="minorHAnsi"/>
                <w:color w:val="000000"/>
                <w:lang w:eastAsia="fr-FR"/>
              </w:rPr>
              <w:t>14</w:t>
            </w:r>
          </w:p>
        </w:tc>
        <w:tc>
          <w:tcPr>
            <w:tcW w:w="2265" w:type="dxa"/>
            <w:vAlign w:val="bottom"/>
          </w:tcPr>
          <w:p w14:paraId="739136E6" w14:textId="348E4D32" w:rsidR="00CF0E4F" w:rsidRPr="005F4275" w:rsidRDefault="00CF0E4F" w:rsidP="00CF0E4F">
            <w:pPr>
              <w:jc w:val="center"/>
              <w:rPr>
                <w:rFonts w:eastAsia="Times New Roman" w:cstheme="minorHAnsi"/>
                <w:color w:val="000000"/>
                <w:lang w:eastAsia="fr-FR"/>
              </w:rPr>
            </w:pPr>
            <w:r>
              <w:rPr>
                <w:rFonts w:ascii="Calibri" w:hAnsi="Calibri" w:cs="Calibri"/>
                <w:color w:val="000000"/>
              </w:rPr>
              <w:t>1133</w:t>
            </w:r>
          </w:p>
        </w:tc>
        <w:tc>
          <w:tcPr>
            <w:tcW w:w="2266" w:type="dxa"/>
            <w:vAlign w:val="bottom"/>
          </w:tcPr>
          <w:p w14:paraId="24F40846" w14:textId="2011C3D1" w:rsidR="00CF0E4F" w:rsidRPr="005F4275" w:rsidRDefault="00CF0E4F" w:rsidP="00CF0E4F">
            <w:pPr>
              <w:jc w:val="center"/>
              <w:rPr>
                <w:rFonts w:eastAsia="Times New Roman" w:cstheme="minorHAnsi"/>
                <w:color w:val="000000"/>
                <w:lang w:eastAsia="fr-FR"/>
              </w:rPr>
            </w:pPr>
            <w:r>
              <w:rPr>
                <w:rFonts w:ascii="Calibri" w:hAnsi="Calibri" w:cs="Calibri"/>
                <w:color w:val="000000"/>
              </w:rPr>
              <w:t>0</w:t>
            </w:r>
          </w:p>
        </w:tc>
        <w:tc>
          <w:tcPr>
            <w:tcW w:w="2266" w:type="dxa"/>
            <w:vAlign w:val="center"/>
          </w:tcPr>
          <w:p w14:paraId="40EE1C81" w14:textId="6209AC23" w:rsidR="00CF0E4F" w:rsidRPr="005F4275" w:rsidRDefault="00CF0E4F" w:rsidP="00CF0E4F">
            <w:pPr>
              <w:jc w:val="center"/>
              <w:rPr>
                <w:rFonts w:eastAsia="Times New Roman" w:cstheme="minorHAnsi"/>
                <w:color w:val="000000"/>
                <w:lang w:eastAsia="fr-FR"/>
              </w:rPr>
            </w:pPr>
            <w:r>
              <w:rPr>
                <w:rFonts w:ascii="Calibri" w:hAnsi="Calibri" w:cs="Calibri"/>
                <w:color w:val="000000"/>
              </w:rPr>
              <w:t xml:space="preserve">          50 985,00 € </w:t>
            </w:r>
          </w:p>
        </w:tc>
      </w:tr>
      <w:tr w:rsidR="004C1769" w:rsidRPr="005F4275" w14:paraId="76A3BD7E" w14:textId="77777777" w:rsidTr="0095713D">
        <w:tc>
          <w:tcPr>
            <w:tcW w:w="2265" w:type="dxa"/>
          </w:tcPr>
          <w:p w14:paraId="5649EE36" w14:textId="5AAA9685" w:rsidR="004C1769" w:rsidRPr="005F4275" w:rsidRDefault="004C1769" w:rsidP="004C1769">
            <w:pPr>
              <w:jc w:val="center"/>
              <w:rPr>
                <w:rFonts w:eastAsia="Times New Roman" w:cstheme="minorHAnsi"/>
                <w:color w:val="000000"/>
                <w:lang w:eastAsia="fr-FR"/>
              </w:rPr>
            </w:pPr>
            <w:r>
              <w:rPr>
                <w:rFonts w:eastAsia="Times New Roman" w:cstheme="minorHAnsi"/>
                <w:color w:val="000000"/>
                <w:lang w:eastAsia="fr-FR"/>
              </w:rPr>
              <w:lastRenderedPageBreak/>
              <w:t>15</w:t>
            </w:r>
          </w:p>
        </w:tc>
        <w:tc>
          <w:tcPr>
            <w:tcW w:w="6797" w:type="dxa"/>
            <w:gridSpan w:val="3"/>
            <w:vAlign w:val="bottom"/>
          </w:tcPr>
          <w:p w14:paraId="0289AC4D" w14:textId="551F192F" w:rsidR="004C1769" w:rsidRPr="002F3337" w:rsidRDefault="00B41F56" w:rsidP="004C1769">
            <w:pPr>
              <w:jc w:val="center"/>
              <w:rPr>
                <w:rFonts w:eastAsia="Times New Roman" w:cstheme="minorHAnsi"/>
                <w:color w:val="FF0000"/>
                <w:lang w:eastAsia="fr-FR"/>
              </w:rPr>
            </w:pPr>
            <w:r>
              <w:rPr>
                <w:rFonts w:eastAsia="Times New Roman" w:cstheme="minorHAnsi"/>
                <w:color w:val="FF0000"/>
                <w:lang w:eastAsia="fr-FR"/>
              </w:rPr>
              <w:t>RESERVEE</w:t>
            </w:r>
          </w:p>
        </w:tc>
      </w:tr>
      <w:tr w:rsidR="004C1769" w:rsidRPr="005F4275" w14:paraId="28C39553" w14:textId="77777777" w:rsidTr="00AB315C">
        <w:tc>
          <w:tcPr>
            <w:tcW w:w="2265" w:type="dxa"/>
          </w:tcPr>
          <w:p w14:paraId="30BF886D" w14:textId="61C5F6C2" w:rsidR="004C1769" w:rsidRPr="005F4275" w:rsidRDefault="004C1769" w:rsidP="004C1769">
            <w:pPr>
              <w:jc w:val="center"/>
              <w:rPr>
                <w:rFonts w:eastAsia="Times New Roman" w:cstheme="minorHAnsi"/>
                <w:color w:val="000000"/>
                <w:lang w:eastAsia="fr-FR"/>
              </w:rPr>
            </w:pPr>
            <w:r>
              <w:rPr>
                <w:rFonts w:eastAsia="Times New Roman" w:cstheme="minorHAnsi"/>
                <w:color w:val="000000"/>
                <w:lang w:eastAsia="fr-FR"/>
              </w:rPr>
              <w:t>16</w:t>
            </w:r>
          </w:p>
        </w:tc>
        <w:tc>
          <w:tcPr>
            <w:tcW w:w="6797" w:type="dxa"/>
            <w:gridSpan w:val="3"/>
            <w:vAlign w:val="bottom"/>
          </w:tcPr>
          <w:p w14:paraId="685F3D67" w14:textId="5B404837" w:rsidR="004C1769" w:rsidRPr="002F3337" w:rsidRDefault="00B41F56" w:rsidP="004C1769">
            <w:pPr>
              <w:jc w:val="center"/>
              <w:rPr>
                <w:rFonts w:eastAsia="Times New Roman" w:cstheme="minorHAnsi"/>
                <w:color w:val="FF0000"/>
                <w:lang w:eastAsia="fr-FR"/>
              </w:rPr>
            </w:pPr>
            <w:r>
              <w:rPr>
                <w:rFonts w:eastAsia="Times New Roman" w:cstheme="minorHAnsi"/>
                <w:color w:val="FF0000"/>
                <w:lang w:eastAsia="fr-FR"/>
              </w:rPr>
              <w:t>RESERVEE</w:t>
            </w:r>
          </w:p>
        </w:tc>
      </w:tr>
      <w:tr w:rsidR="004C1769" w:rsidRPr="005F4275" w14:paraId="1412EB7C" w14:textId="77777777" w:rsidTr="00A027D1">
        <w:tc>
          <w:tcPr>
            <w:tcW w:w="2265" w:type="dxa"/>
          </w:tcPr>
          <w:p w14:paraId="0290B6A5" w14:textId="28B2683A" w:rsidR="004C1769" w:rsidRPr="005F4275" w:rsidRDefault="004C1769" w:rsidP="004C1769">
            <w:pPr>
              <w:jc w:val="center"/>
              <w:rPr>
                <w:rFonts w:eastAsia="Times New Roman" w:cstheme="minorHAnsi"/>
                <w:color w:val="000000"/>
                <w:lang w:eastAsia="fr-FR"/>
              </w:rPr>
            </w:pPr>
            <w:r>
              <w:rPr>
                <w:rFonts w:eastAsia="Times New Roman" w:cstheme="minorHAnsi"/>
                <w:color w:val="000000"/>
                <w:lang w:eastAsia="fr-FR"/>
              </w:rPr>
              <w:t>17</w:t>
            </w:r>
          </w:p>
        </w:tc>
        <w:tc>
          <w:tcPr>
            <w:tcW w:w="2265" w:type="dxa"/>
            <w:vAlign w:val="bottom"/>
          </w:tcPr>
          <w:p w14:paraId="04BB9829" w14:textId="2B3D3786" w:rsidR="004C1769" w:rsidRPr="005F4275" w:rsidRDefault="004C1769" w:rsidP="004C1769">
            <w:pPr>
              <w:jc w:val="center"/>
              <w:rPr>
                <w:rFonts w:eastAsia="Times New Roman" w:cstheme="minorHAnsi"/>
                <w:color w:val="000000"/>
                <w:lang w:eastAsia="fr-FR"/>
              </w:rPr>
            </w:pPr>
            <w:r>
              <w:rPr>
                <w:rFonts w:ascii="Calibri" w:hAnsi="Calibri" w:cs="Calibri"/>
                <w:color w:val="000000"/>
              </w:rPr>
              <w:t>721</w:t>
            </w:r>
          </w:p>
        </w:tc>
        <w:tc>
          <w:tcPr>
            <w:tcW w:w="2266" w:type="dxa"/>
            <w:vAlign w:val="bottom"/>
          </w:tcPr>
          <w:p w14:paraId="2BC90390" w14:textId="6F6F3051" w:rsidR="004C1769" w:rsidRPr="005F4275" w:rsidRDefault="004C1769" w:rsidP="004C1769">
            <w:pPr>
              <w:jc w:val="center"/>
              <w:rPr>
                <w:rFonts w:eastAsia="Times New Roman" w:cstheme="minorHAnsi"/>
                <w:color w:val="000000"/>
                <w:lang w:eastAsia="fr-FR"/>
              </w:rPr>
            </w:pPr>
            <w:r>
              <w:rPr>
                <w:rFonts w:ascii="Calibri" w:hAnsi="Calibri" w:cs="Calibri"/>
                <w:color w:val="000000"/>
              </w:rPr>
              <w:t>0</w:t>
            </w:r>
          </w:p>
        </w:tc>
        <w:tc>
          <w:tcPr>
            <w:tcW w:w="2266" w:type="dxa"/>
            <w:vAlign w:val="center"/>
          </w:tcPr>
          <w:p w14:paraId="599A6B4A" w14:textId="40E05436" w:rsidR="004C1769" w:rsidRPr="005F4275" w:rsidRDefault="004C1769" w:rsidP="004C1769">
            <w:pPr>
              <w:jc w:val="center"/>
              <w:rPr>
                <w:rFonts w:eastAsia="Times New Roman" w:cstheme="minorHAnsi"/>
                <w:color w:val="000000"/>
                <w:lang w:eastAsia="fr-FR"/>
              </w:rPr>
            </w:pPr>
            <w:r>
              <w:rPr>
                <w:rFonts w:ascii="Calibri" w:hAnsi="Calibri" w:cs="Calibri"/>
                <w:color w:val="000000"/>
              </w:rPr>
              <w:t xml:space="preserve">          39 655,00 € </w:t>
            </w:r>
          </w:p>
        </w:tc>
      </w:tr>
      <w:tr w:rsidR="00066188" w:rsidRPr="005F4275" w14:paraId="1854D4F1" w14:textId="77777777" w:rsidTr="00055F18">
        <w:tc>
          <w:tcPr>
            <w:tcW w:w="2265" w:type="dxa"/>
          </w:tcPr>
          <w:p w14:paraId="7B958583" w14:textId="65411580" w:rsidR="00066188" w:rsidRPr="005F4275" w:rsidRDefault="00066188" w:rsidP="004C1769">
            <w:pPr>
              <w:jc w:val="center"/>
              <w:rPr>
                <w:rFonts w:eastAsia="Times New Roman" w:cstheme="minorHAnsi"/>
                <w:color w:val="000000"/>
                <w:lang w:eastAsia="fr-FR"/>
              </w:rPr>
            </w:pPr>
            <w:r>
              <w:rPr>
                <w:rFonts w:eastAsia="Times New Roman" w:cstheme="minorHAnsi"/>
                <w:color w:val="000000"/>
                <w:lang w:eastAsia="fr-FR"/>
              </w:rPr>
              <w:t>18</w:t>
            </w:r>
          </w:p>
        </w:tc>
        <w:tc>
          <w:tcPr>
            <w:tcW w:w="6797" w:type="dxa"/>
            <w:gridSpan w:val="3"/>
            <w:vAlign w:val="bottom"/>
          </w:tcPr>
          <w:p w14:paraId="1CDAFE27" w14:textId="691EE795" w:rsidR="00066188" w:rsidRPr="005F4275" w:rsidRDefault="00B41F56" w:rsidP="004C1769">
            <w:pPr>
              <w:jc w:val="center"/>
              <w:rPr>
                <w:rFonts w:eastAsia="Times New Roman" w:cstheme="minorHAnsi"/>
                <w:color w:val="000000"/>
                <w:lang w:eastAsia="fr-FR"/>
              </w:rPr>
            </w:pPr>
            <w:r>
              <w:rPr>
                <w:rFonts w:eastAsia="Times New Roman" w:cstheme="minorHAnsi"/>
                <w:color w:val="FF0000"/>
                <w:lang w:eastAsia="fr-FR"/>
              </w:rPr>
              <w:t>RESERVEE</w:t>
            </w:r>
          </w:p>
        </w:tc>
      </w:tr>
      <w:tr w:rsidR="007C67BF" w:rsidRPr="005F4275" w14:paraId="037A197D" w14:textId="77777777" w:rsidTr="00A95CFA">
        <w:tc>
          <w:tcPr>
            <w:tcW w:w="2265" w:type="dxa"/>
          </w:tcPr>
          <w:p w14:paraId="59B66BEB" w14:textId="735B48AA" w:rsidR="007C67BF" w:rsidRPr="005F4275" w:rsidRDefault="007C67BF" w:rsidP="004C1769">
            <w:pPr>
              <w:jc w:val="center"/>
              <w:rPr>
                <w:rFonts w:eastAsia="Times New Roman" w:cstheme="minorHAnsi"/>
                <w:color w:val="000000"/>
                <w:lang w:eastAsia="fr-FR"/>
              </w:rPr>
            </w:pPr>
            <w:r>
              <w:rPr>
                <w:rFonts w:eastAsia="Times New Roman" w:cstheme="minorHAnsi"/>
                <w:color w:val="000000"/>
                <w:lang w:eastAsia="fr-FR"/>
              </w:rPr>
              <w:t>19</w:t>
            </w:r>
          </w:p>
        </w:tc>
        <w:tc>
          <w:tcPr>
            <w:tcW w:w="6797" w:type="dxa"/>
            <w:gridSpan w:val="3"/>
            <w:vAlign w:val="bottom"/>
          </w:tcPr>
          <w:p w14:paraId="403D1C79" w14:textId="67E2154D" w:rsidR="007C67BF" w:rsidRPr="005F4275" w:rsidRDefault="00B41F56" w:rsidP="004C1769">
            <w:pPr>
              <w:jc w:val="center"/>
              <w:rPr>
                <w:rFonts w:eastAsia="Times New Roman" w:cstheme="minorHAnsi"/>
                <w:color w:val="000000"/>
                <w:lang w:eastAsia="fr-FR"/>
              </w:rPr>
            </w:pPr>
            <w:r>
              <w:rPr>
                <w:rFonts w:eastAsia="Times New Roman" w:cstheme="minorHAnsi"/>
                <w:color w:val="FF0000"/>
                <w:lang w:eastAsia="fr-FR"/>
              </w:rPr>
              <w:t>RESERVEE</w:t>
            </w:r>
          </w:p>
        </w:tc>
      </w:tr>
      <w:tr w:rsidR="00066188" w:rsidRPr="005F4275" w14:paraId="002E2CB9" w14:textId="77777777" w:rsidTr="00401E15">
        <w:tc>
          <w:tcPr>
            <w:tcW w:w="2265" w:type="dxa"/>
          </w:tcPr>
          <w:p w14:paraId="3786A2E2" w14:textId="5BCA3990" w:rsidR="00066188" w:rsidRPr="005F4275" w:rsidRDefault="00066188" w:rsidP="004C1769">
            <w:pPr>
              <w:jc w:val="center"/>
              <w:rPr>
                <w:rFonts w:eastAsia="Times New Roman" w:cstheme="minorHAnsi"/>
                <w:color w:val="000000"/>
                <w:lang w:eastAsia="fr-FR"/>
              </w:rPr>
            </w:pPr>
            <w:r>
              <w:rPr>
                <w:rFonts w:eastAsia="Times New Roman" w:cstheme="minorHAnsi"/>
                <w:color w:val="000000"/>
                <w:lang w:eastAsia="fr-FR"/>
              </w:rPr>
              <w:t>20</w:t>
            </w:r>
          </w:p>
        </w:tc>
        <w:tc>
          <w:tcPr>
            <w:tcW w:w="6797" w:type="dxa"/>
            <w:gridSpan w:val="3"/>
            <w:vAlign w:val="bottom"/>
          </w:tcPr>
          <w:p w14:paraId="24377FCA" w14:textId="3755CA62" w:rsidR="00066188" w:rsidRPr="002F3337" w:rsidRDefault="00B41F56" w:rsidP="004C1769">
            <w:pPr>
              <w:jc w:val="center"/>
              <w:rPr>
                <w:rFonts w:eastAsia="Times New Roman" w:cstheme="minorHAnsi"/>
                <w:color w:val="FF0000"/>
                <w:lang w:eastAsia="fr-FR"/>
              </w:rPr>
            </w:pPr>
            <w:r>
              <w:rPr>
                <w:rFonts w:eastAsia="Times New Roman" w:cstheme="minorHAnsi"/>
                <w:color w:val="FF0000"/>
                <w:lang w:eastAsia="fr-FR"/>
              </w:rPr>
              <w:t>RESERVEE</w:t>
            </w:r>
          </w:p>
        </w:tc>
      </w:tr>
      <w:tr w:rsidR="00AA275C" w:rsidRPr="005F4275" w14:paraId="720C54C5" w14:textId="77777777" w:rsidTr="005A4DDC">
        <w:tc>
          <w:tcPr>
            <w:tcW w:w="2265" w:type="dxa"/>
          </w:tcPr>
          <w:p w14:paraId="06765B80" w14:textId="79BB6A34" w:rsidR="00AA275C" w:rsidRPr="005F4275" w:rsidRDefault="00AA275C" w:rsidP="004C1769">
            <w:pPr>
              <w:jc w:val="center"/>
              <w:rPr>
                <w:rFonts w:eastAsia="Times New Roman" w:cstheme="minorHAnsi"/>
                <w:color w:val="000000"/>
                <w:lang w:eastAsia="fr-FR"/>
              </w:rPr>
            </w:pPr>
            <w:r>
              <w:rPr>
                <w:rFonts w:eastAsia="Times New Roman" w:cstheme="minorHAnsi"/>
                <w:color w:val="000000"/>
                <w:lang w:eastAsia="fr-FR"/>
              </w:rPr>
              <w:t>21</w:t>
            </w:r>
          </w:p>
        </w:tc>
        <w:tc>
          <w:tcPr>
            <w:tcW w:w="6797" w:type="dxa"/>
            <w:gridSpan w:val="3"/>
            <w:vAlign w:val="bottom"/>
          </w:tcPr>
          <w:p w14:paraId="32333887" w14:textId="04E46E6A" w:rsidR="00AA275C" w:rsidRPr="002F3337" w:rsidRDefault="00B41F56" w:rsidP="004C1769">
            <w:pPr>
              <w:jc w:val="center"/>
              <w:rPr>
                <w:rFonts w:eastAsia="Times New Roman" w:cstheme="minorHAnsi"/>
                <w:color w:val="FF0000"/>
                <w:lang w:eastAsia="fr-FR"/>
              </w:rPr>
            </w:pPr>
            <w:r>
              <w:rPr>
                <w:rFonts w:eastAsia="Times New Roman" w:cstheme="minorHAnsi"/>
                <w:color w:val="FF0000"/>
                <w:lang w:eastAsia="fr-FR"/>
              </w:rPr>
              <w:t>RESERVEE</w:t>
            </w:r>
          </w:p>
        </w:tc>
      </w:tr>
      <w:tr w:rsidR="007C67BF" w:rsidRPr="005F4275" w14:paraId="798C3D84" w14:textId="77777777" w:rsidTr="00120C29">
        <w:tc>
          <w:tcPr>
            <w:tcW w:w="2265" w:type="dxa"/>
          </w:tcPr>
          <w:p w14:paraId="5E1D0D5D" w14:textId="104216CB" w:rsidR="007C67BF" w:rsidRPr="005F4275" w:rsidRDefault="007C67BF" w:rsidP="004C1769">
            <w:pPr>
              <w:jc w:val="center"/>
              <w:rPr>
                <w:rFonts w:eastAsia="Times New Roman" w:cstheme="minorHAnsi"/>
                <w:color w:val="000000"/>
                <w:lang w:eastAsia="fr-FR"/>
              </w:rPr>
            </w:pPr>
            <w:r>
              <w:rPr>
                <w:rFonts w:eastAsia="Times New Roman" w:cstheme="minorHAnsi"/>
                <w:color w:val="000000"/>
                <w:lang w:eastAsia="fr-FR"/>
              </w:rPr>
              <w:t>22</w:t>
            </w:r>
          </w:p>
        </w:tc>
        <w:tc>
          <w:tcPr>
            <w:tcW w:w="6797" w:type="dxa"/>
            <w:gridSpan w:val="3"/>
            <w:vAlign w:val="bottom"/>
          </w:tcPr>
          <w:p w14:paraId="3254C813" w14:textId="3FEFE37B" w:rsidR="007C67BF" w:rsidRPr="005F4275" w:rsidRDefault="00B41F56" w:rsidP="004C1769">
            <w:pPr>
              <w:ind w:right="-542"/>
              <w:jc w:val="center"/>
              <w:rPr>
                <w:rFonts w:eastAsia="Times New Roman" w:cstheme="minorHAnsi"/>
                <w:color w:val="000000"/>
                <w:lang w:eastAsia="fr-FR"/>
              </w:rPr>
            </w:pPr>
            <w:r>
              <w:rPr>
                <w:rFonts w:eastAsia="Times New Roman" w:cstheme="minorHAnsi"/>
                <w:color w:val="FF0000"/>
                <w:lang w:eastAsia="fr-FR"/>
              </w:rPr>
              <w:t>RESERVEE</w:t>
            </w:r>
          </w:p>
        </w:tc>
      </w:tr>
      <w:tr w:rsidR="007C67BF" w:rsidRPr="005F4275" w14:paraId="16499165" w14:textId="77777777" w:rsidTr="007500F7">
        <w:tc>
          <w:tcPr>
            <w:tcW w:w="2265" w:type="dxa"/>
          </w:tcPr>
          <w:p w14:paraId="1420EF23" w14:textId="5C2C9AD4" w:rsidR="007C67BF" w:rsidRPr="005F4275" w:rsidRDefault="007C67BF" w:rsidP="004C1769">
            <w:pPr>
              <w:jc w:val="center"/>
              <w:rPr>
                <w:rFonts w:eastAsia="Times New Roman" w:cstheme="minorHAnsi"/>
                <w:color w:val="000000"/>
                <w:lang w:eastAsia="fr-FR"/>
              </w:rPr>
            </w:pPr>
            <w:r>
              <w:rPr>
                <w:rFonts w:eastAsia="Times New Roman" w:cstheme="minorHAnsi"/>
                <w:color w:val="000000"/>
                <w:lang w:eastAsia="fr-FR"/>
              </w:rPr>
              <w:t>23</w:t>
            </w:r>
          </w:p>
        </w:tc>
        <w:tc>
          <w:tcPr>
            <w:tcW w:w="6797" w:type="dxa"/>
            <w:gridSpan w:val="3"/>
            <w:vAlign w:val="bottom"/>
          </w:tcPr>
          <w:p w14:paraId="4224BBE8" w14:textId="432FDF99" w:rsidR="007C67BF" w:rsidRPr="005F4275" w:rsidRDefault="00B41F56" w:rsidP="004C1769">
            <w:pPr>
              <w:ind w:right="-542"/>
              <w:jc w:val="center"/>
              <w:rPr>
                <w:rFonts w:eastAsia="Times New Roman" w:cstheme="minorHAnsi"/>
                <w:color w:val="000000"/>
                <w:lang w:eastAsia="fr-FR"/>
              </w:rPr>
            </w:pPr>
            <w:r>
              <w:rPr>
                <w:rFonts w:eastAsia="Times New Roman" w:cstheme="minorHAnsi"/>
                <w:color w:val="FF0000"/>
                <w:lang w:eastAsia="fr-FR"/>
              </w:rPr>
              <w:t>RESERVEE</w:t>
            </w:r>
          </w:p>
        </w:tc>
      </w:tr>
      <w:tr w:rsidR="00992C46" w:rsidRPr="005F4275" w14:paraId="6BED445E" w14:textId="77777777" w:rsidTr="00BD49A1">
        <w:tc>
          <w:tcPr>
            <w:tcW w:w="2265" w:type="dxa"/>
          </w:tcPr>
          <w:p w14:paraId="1F5B8890" w14:textId="5045686C" w:rsidR="00992C46" w:rsidRPr="005F4275" w:rsidRDefault="00992C46" w:rsidP="004C1769">
            <w:pPr>
              <w:jc w:val="center"/>
              <w:rPr>
                <w:rFonts w:eastAsia="Times New Roman" w:cstheme="minorHAnsi"/>
                <w:color w:val="000000"/>
                <w:lang w:eastAsia="fr-FR"/>
              </w:rPr>
            </w:pPr>
            <w:r>
              <w:rPr>
                <w:rFonts w:eastAsia="Times New Roman" w:cstheme="minorHAnsi"/>
                <w:color w:val="000000"/>
                <w:lang w:eastAsia="fr-FR"/>
              </w:rPr>
              <w:t>24</w:t>
            </w:r>
          </w:p>
        </w:tc>
        <w:tc>
          <w:tcPr>
            <w:tcW w:w="6797" w:type="dxa"/>
            <w:gridSpan w:val="3"/>
            <w:vAlign w:val="bottom"/>
          </w:tcPr>
          <w:p w14:paraId="7F57F209" w14:textId="27158C2C" w:rsidR="00992C46" w:rsidRPr="005F4275" w:rsidRDefault="00992C46" w:rsidP="004C1769">
            <w:pPr>
              <w:jc w:val="center"/>
              <w:rPr>
                <w:rFonts w:eastAsia="Times New Roman" w:cstheme="minorHAnsi"/>
                <w:color w:val="000000"/>
                <w:lang w:eastAsia="fr-FR"/>
              </w:rPr>
            </w:pPr>
            <w:r>
              <w:rPr>
                <w:rFonts w:ascii="Calibri" w:hAnsi="Calibri" w:cs="Calibri"/>
                <w:color w:val="000000"/>
              </w:rPr>
              <w:t xml:space="preserve">          </w:t>
            </w:r>
            <w:r>
              <w:rPr>
                <w:rFonts w:eastAsia="Times New Roman" w:cstheme="minorHAnsi"/>
                <w:color w:val="FF0000"/>
                <w:lang w:eastAsia="fr-FR"/>
              </w:rPr>
              <w:t>RESERVEE</w:t>
            </w:r>
          </w:p>
        </w:tc>
      </w:tr>
      <w:tr w:rsidR="00992C46" w:rsidRPr="005F4275" w14:paraId="0986927A" w14:textId="77777777" w:rsidTr="00904BDD">
        <w:tc>
          <w:tcPr>
            <w:tcW w:w="2265" w:type="dxa"/>
          </w:tcPr>
          <w:p w14:paraId="0864C928" w14:textId="22B3DAFF" w:rsidR="00992C46" w:rsidRPr="005F4275" w:rsidRDefault="00992C46" w:rsidP="004C1769">
            <w:pPr>
              <w:jc w:val="center"/>
              <w:rPr>
                <w:rFonts w:eastAsia="Times New Roman" w:cstheme="minorHAnsi"/>
                <w:color w:val="000000"/>
                <w:lang w:eastAsia="fr-FR"/>
              </w:rPr>
            </w:pPr>
            <w:r>
              <w:rPr>
                <w:rFonts w:eastAsia="Times New Roman" w:cstheme="minorHAnsi"/>
                <w:color w:val="000000"/>
                <w:lang w:eastAsia="fr-FR"/>
              </w:rPr>
              <w:t>25</w:t>
            </w:r>
          </w:p>
        </w:tc>
        <w:tc>
          <w:tcPr>
            <w:tcW w:w="6797" w:type="dxa"/>
            <w:gridSpan w:val="3"/>
            <w:vAlign w:val="bottom"/>
          </w:tcPr>
          <w:p w14:paraId="77EAE600" w14:textId="00AF4BCE" w:rsidR="00992C46" w:rsidRPr="005F4275" w:rsidRDefault="00992C46" w:rsidP="004C1769">
            <w:pPr>
              <w:jc w:val="center"/>
              <w:rPr>
                <w:rFonts w:eastAsia="Times New Roman" w:cstheme="minorHAnsi"/>
                <w:color w:val="000000"/>
                <w:lang w:eastAsia="fr-FR"/>
              </w:rPr>
            </w:pPr>
            <w:r>
              <w:rPr>
                <w:rFonts w:ascii="Calibri" w:hAnsi="Calibri" w:cs="Calibri"/>
                <w:color w:val="000000"/>
              </w:rPr>
              <w:t xml:space="preserve">          </w:t>
            </w:r>
            <w:r>
              <w:rPr>
                <w:rFonts w:eastAsia="Times New Roman" w:cstheme="minorHAnsi"/>
                <w:color w:val="FF0000"/>
                <w:lang w:eastAsia="fr-FR"/>
              </w:rPr>
              <w:t>RESERVEE</w:t>
            </w:r>
          </w:p>
        </w:tc>
      </w:tr>
      <w:tr w:rsidR="00992C46" w:rsidRPr="005F4275" w14:paraId="7978B0CF" w14:textId="77777777" w:rsidTr="0000478C">
        <w:tc>
          <w:tcPr>
            <w:tcW w:w="2265" w:type="dxa"/>
          </w:tcPr>
          <w:p w14:paraId="0AAE0B32" w14:textId="39E165C9" w:rsidR="00992C46" w:rsidRPr="005F4275" w:rsidRDefault="00992C46" w:rsidP="004C1769">
            <w:pPr>
              <w:jc w:val="center"/>
              <w:rPr>
                <w:rFonts w:eastAsia="Times New Roman" w:cstheme="minorHAnsi"/>
                <w:color w:val="000000"/>
                <w:lang w:eastAsia="fr-FR"/>
              </w:rPr>
            </w:pPr>
            <w:r>
              <w:rPr>
                <w:rFonts w:eastAsia="Times New Roman" w:cstheme="minorHAnsi"/>
                <w:color w:val="000000"/>
                <w:lang w:eastAsia="fr-FR"/>
              </w:rPr>
              <w:t>26</w:t>
            </w:r>
          </w:p>
        </w:tc>
        <w:tc>
          <w:tcPr>
            <w:tcW w:w="6797" w:type="dxa"/>
            <w:gridSpan w:val="3"/>
            <w:vAlign w:val="bottom"/>
          </w:tcPr>
          <w:p w14:paraId="44B5472F" w14:textId="5FFBCCD0" w:rsidR="00992C46" w:rsidRPr="005F4275" w:rsidRDefault="00992C46" w:rsidP="004C1769">
            <w:pPr>
              <w:jc w:val="center"/>
              <w:rPr>
                <w:rFonts w:eastAsia="Times New Roman" w:cstheme="minorHAnsi"/>
                <w:color w:val="000000"/>
                <w:lang w:eastAsia="fr-FR"/>
              </w:rPr>
            </w:pPr>
            <w:r>
              <w:rPr>
                <w:rFonts w:eastAsia="Times New Roman" w:cstheme="minorHAnsi"/>
                <w:color w:val="FF0000"/>
                <w:lang w:eastAsia="fr-FR"/>
              </w:rPr>
              <w:t>RESERVEE</w:t>
            </w:r>
          </w:p>
        </w:tc>
      </w:tr>
    </w:tbl>
    <w:p w14:paraId="103BB114" w14:textId="77777777" w:rsidR="00003413" w:rsidRDefault="00003413" w:rsidP="003B5E5A">
      <w:pPr>
        <w:spacing w:after="0" w:line="240" w:lineRule="auto"/>
        <w:jc w:val="both"/>
        <w:rPr>
          <w:rFonts w:eastAsia="Times New Roman" w:cstheme="minorHAnsi"/>
          <w:lang w:eastAsia="fr-FR"/>
        </w:rPr>
      </w:pPr>
    </w:p>
    <w:p w14:paraId="4B35A4AA" w14:textId="78CDF4F7" w:rsidR="00D74014" w:rsidRPr="00F26427" w:rsidRDefault="00E96C88" w:rsidP="003B5E5A">
      <w:pPr>
        <w:spacing w:after="0" w:line="240" w:lineRule="auto"/>
        <w:jc w:val="both"/>
        <w:rPr>
          <w:rFonts w:eastAsia="Times New Roman" w:cstheme="minorHAnsi"/>
          <w:lang w:eastAsia="fr-FR"/>
        </w:rPr>
      </w:pPr>
      <w:r w:rsidRPr="00F26427">
        <w:rPr>
          <w:rFonts w:eastAsia="Times New Roman" w:cstheme="minorHAnsi"/>
          <w:lang w:eastAsia="fr-FR"/>
        </w:rPr>
        <w:t>Les surfaces sont indiquées à titre indicatif et pourront légèrement évoluer suite à bornage définitif des lots.</w:t>
      </w:r>
    </w:p>
    <w:p w14:paraId="5E6E594F" w14:textId="77777777" w:rsidR="00E96C88" w:rsidRDefault="00E96C88" w:rsidP="003B5E5A">
      <w:pPr>
        <w:spacing w:after="0" w:line="240" w:lineRule="auto"/>
        <w:jc w:val="both"/>
        <w:rPr>
          <w:rFonts w:eastAsia="Times New Roman" w:cstheme="minorHAnsi"/>
          <w:color w:val="000000"/>
          <w:lang w:eastAsia="fr-FR"/>
        </w:rPr>
      </w:pPr>
    </w:p>
    <w:p w14:paraId="2C9C540E" w14:textId="6F880C3C" w:rsidR="001D03CC" w:rsidRDefault="007662B9" w:rsidP="003B5E5A">
      <w:pPr>
        <w:spacing w:after="0" w:line="240" w:lineRule="auto"/>
        <w:jc w:val="both"/>
        <w:rPr>
          <w:rFonts w:eastAsia="Times New Roman" w:cstheme="minorHAnsi"/>
          <w:color w:val="000000"/>
          <w:lang w:eastAsia="fr-FR"/>
        </w:rPr>
      </w:pPr>
      <w:r w:rsidRPr="001D03CC">
        <w:rPr>
          <w:rFonts w:eastAsia="Times New Roman" w:cstheme="minorHAnsi"/>
          <w:color w:val="000000"/>
          <w:lang w:eastAsia="fr-FR"/>
        </w:rPr>
        <w:t xml:space="preserve">Le reste de l’emprise foncière </w:t>
      </w:r>
      <w:r w:rsidR="00F32D7E" w:rsidRPr="001D03CC">
        <w:rPr>
          <w:rFonts w:eastAsia="Times New Roman" w:cstheme="minorHAnsi"/>
          <w:color w:val="000000"/>
          <w:lang w:eastAsia="fr-FR"/>
        </w:rPr>
        <w:t xml:space="preserve">constituera les lieux communs, repris en pleine propriété par la Commune, qui seront alors intégrés au domaine public routier et ses accessoires (couche de roulement, accotements, trottoirs, réseaux souterrains …). </w:t>
      </w:r>
      <w:r w:rsidR="001D03CC" w:rsidRPr="001D03CC">
        <w:rPr>
          <w:rFonts w:eastAsia="Times New Roman" w:cstheme="minorHAnsi"/>
          <w:color w:val="000000"/>
          <w:lang w:eastAsia="fr-FR"/>
        </w:rPr>
        <w:t>L’entretien des voies, espaces communs et réseaux incombera à la Commune.</w:t>
      </w:r>
    </w:p>
    <w:p w14:paraId="60F645EE" w14:textId="62E5B31F" w:rsidR="00CC3440" w:rsidRDefault="00CC3440" w:rsidP="003B5E5A">
      <w:pPr>
        <w:spacing w:after="0" w:line="240" w:lineRule="auto"/>
        <w:jc w:val="both"/>
        <w:rPr>
          <w:rFonts w:eastAsia="Times New Roman" w:cstheme="minorHAnsi"/>
          <w:color w:val="000000"/>
          <w:lang w:eastAsia="fr-FR"/>
        </w:rPr>
      </w:pPr>
    </w:p>
    <w:p w14:paraId="3C4E2D2A" w14:textId="5B95AE48" w:rsidR="00F90FB1" w:rsidRDefault="00CC3440" w:rsidP="003B5E5A">
      <w:pPr>
        <w:spacing w:after="0" w:line="240" w:lineRule="auto"/>
        <w:jc w:val="both"/>
        <w:rPr>
          <w:rFonts w:eastAsia="Times New Roman" w:cstheme="minorHAnsi"/>
          <w:color w:val="000000"/>
          <w:lang w:eastAsia="fr-FR"/>
        </w:rPr>
      </w:pPr>
      <w:r>
        <w:rPr>
          <w:rFonts w:eastAsia="Times New Roman" w:cstheme="minorHAnsi"/>
          <w:color w:val="000000"/>
          <w:lang w:eastAsia="fr-FR"/>
        </w:rPr>
        <w:t>Il est précisé que les lots n°1 à 13</w:t>
      </w:r>
      <w:r w:rsidR="00385280">
        <w:rPr>
          <w:rFonts w:eastAsia="Times New Roman" w:cstheme="minorHAnsi"/>
          <w:color w:val="000000"/>
          <w:lang w:eastAsia="fr-FR"/>
        </w:rPr>
        <w:t xml:space="preserve"> </w:t>
      </w:r>
      <w:r>
        <w:rPr>
          <w:rFonts w:eastAsia="Times New Roman" w:cstheme="minorHAnsi"/>
          <w:color w:val="000000"/>
          <w:lang w:eastAsia="fr-FR"/>
        </w:rPr>
        <w:t xml:space="preserve">sont partiellement situés en Zone </w:t>
      </w:r>
      <w:r w:rsidR="006A125F">
        <w:rPr>
          <w:rFonts w:eastAsia="Times New Roman" w:cstheme="minorHAnsi"/>
          <w:color w:val="000000"/>
          <w:lang w:eastAsia="fr-FR"/>
        </w:rPr>
        <w:t>Agricole</w:t>
      </w:r>
      <w:r>
        <w:rPr>
          <w:rFonts w:eastAsia="Times New Roman" w:cstheme="minorHAnsi"/>
          <w:color w:val="000000"/>
          <w:lang w:eastAsia="fr-FR"/>
        </w:rPr>
        <w:t xml:space="preserve"> et que la constructibilité sur ces parties de parcelles est par conséquent limitée en application du règlement de zonage du Plan Local d’Urbanisme. </w:t>
      </w:r>
    </w:p>
    <w:p w14:paraId="484815C1" w14:textId="1BDEBAF3" w:rsidR="00182429" w:rsidRPr="001D03CC" w:rsidRDefault="00182429" w:rsidP="003B5E5A">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Les tarifs des différentes parcelles sont réévaluables par la Commune </w:t>
      </w:r>
      <w:r w:rsidR="00344FAC">
        <w:rPr>
          <w:rFonts w:eastAsia="Times New Roman" w:cstheme="minorHAnsi"/>
          <w:color w:val="000000"/>
          <w:lang w:eastAsia="fr-FR"/>
        </w:rPr>
        <w:t xml:space="preserve">tous les </w:t>
      </w:r>
      <w:r w:rsidR="00E12367">
        <w:rPr>
          <w:rFonts w:eastAsia="Times New Roman" w:cstheme="minorHAnsi"/>
          <w:color w:val="000000"/>
          <w:lang w:eastAsia="fr-FR"/>
        </w:rPr>
        <w:t>quatre</w:t>
      </w:r>
      <w:r w:rsidR="00344FAC">
        <w:rPr>
          <w:rFonts w:eastAsia="Times New Roman" w:cstheme="minorHAnsi"/>
          <w:color w:val="000000"/>
          <w:lang w:eastAsia="fr-FR"/>
        </w:rPr>
        <w:t xml:space="preserve"> mois à compter </w:t>
      </w:r>
      <w:r>
        <w:rPr>
          <w:rFonts w:eastAsia="Times New Roman" w:cstheme="minorHAnsi"/>
          <w:color w:val="000000"/>
          <w:lang w:eastAsia="fr-FR"/>
        </w:rPr>
        <w:t xml:space="preserve">de la première commercialisation pour les parcelles encore invendues. </w:t>
      </w:r>
    </w:p>
    <w:p w14:paraId="3120EFCB" w14:textId="77777777" w:rsidR="007662B9" w:rsidRPr="005F4275" w:rsidRDefault="007662B9" w:rsidP="003B5E5A">
      <w:pPr>
        <w:spacing w:after="0" w:line="240" w:lineRule="auto"/>
        <w:jc w:val="both"/>
        <w:rPr>
          <w:rFonts w:eastAsia="Times New Roman" w:cstheme="minorHAnsi"/>
          <w:color w:val="000000"/>
          <w:lang w:eastAsia="fr-FR"/>
        </w:rPr>
      </w:pPr>
    </w:p>
    <w:p w14:paraId="5D3DEF23" w14:textId="7CA3056A" w:rsidR="000A0287" w:rsidRPr="00353FC1" w:rsidRDefault="00353FC1" w:rsidP="003B5E5A">
      <w:pPr>
        <w:spacing w:after="0" w:line="240" w:lineRule="auto"/>
        <w:jc w:val="both"/>
        <w:rPr>
          <w:rFonts w:eastAsia="Times New Roman" w:cstheme="minorHAnsi"/>
          <w:color w:val="000000"/>
          <w:u w:val="single"/>
          <w:lang w:eastAsia="fr-FR"/>
        </w:rPr>
      </w:pPr>
      <w:r w:rsidRPr="00353FC1">
        <w:rPr>
          <w:rFonts w:eastAsia="Times New Roman" w:cstheme="minorHAnsi"/>
          <w:color w:val="000000"/>
          <w:u w:val="single"/>
          <w:lang w:eastAsia="fr-FR"/>
        </w:rPr>
        <w:t>ARTICLE 1</w:t>
      </w:r>
      <w:r w:rsidR="006F48F2">
        <w:rPr>
          <w:rFonts w:eastAsia="Times New Roman" w:cstheme="minorHAnsi"/>
          <w:color w:val="000000"/>
          <w:u w:val="single"/>
          <w:lang w:eastAsia="fr-FR"/>
        </w:rPr>
        <w:t>4</w:t>
      </w:r>
      <w:r w:rsidRPr="00353FC1">
        <w:rPr>
          <w:rFonts w:eastAsia="Times New Roman" w:cstheme="minorHAnsi"/>
          <w:color w:val="000000"/>
          <w:u w:val="single"/>
          <w:lang w:eastAsia="fr-FR"/>
        </w:rPr>
        <w:t> : TENUE GENERALE DU LOTISSEMENT</w:t>
      </w:r>
    </w:p>
    <w:p w14:paraId="50E0B70C" w14:textId="77777777" w:rsidR="00332DD9" w:rsidRDefault="006C098B" w:rsidP="003B5E5A">
      <w:pPr>
        <w:spacing w:after="0" w:line="240" w:lineRule="auto"/>
        <w:jc w:val="both"/>
        <w:rPr>
          <w:rFonts w:eastAsia="Times New Roman" w:cstheme="minorHAnsi"/>
          <w:color w:val="000000"/>
          <w:lang w:eastAsia="fr-FR"/>
        </w:rPr>
      </w:pPr>
      <w:r w:rsidRPr="00332DD9">
        <w:rPr>
          <w:rFonts w:eastAsia="Times New Roman" w:cstheme="minorHAnsi"/>
          <w:color w:val="000000"/>
          <w:lang w:eastAsia="fr-FR"/>
        </w:rPr>
        <w:t>Les lots, les constructions, les espaces libres, les voies et les parties communes doivent être tenus constamment en excellent état de propreté, et d’entretien de manière à ce que l’aspect du lotissement ne s’en trouve pas altéré.</w:t>
      </w:r>
    </w:p>
    <w:p w14:paraId="0D5EAA26" w14:textId="77777777" w:rsidR="00332DD9" w:rsidRDefault="006C098B" w:rsidP="003B5E5A">
      <w:pPr>
        <w:spacing w:after="0" w:line="240" w:lineRule="auto"/>
        <w:jc w:val="both"/>
        <w:rPr>
          <w:rFonts w:eastAsia="Times New Roman" w:cstheme="minorHAnsi"/>
          <w:color w:val="000000"/>
          <w:lang w:eastAsia="fr-FR"/>
        </w:rPr>
      </w:pPr>
      <w:r w:rsidRPr="00332DD9">
        <w:rPr>
          <w:rFonts w:eastAsia="Times New Roman" w:cstheme="minorHAnsi"/>
          <w:color w:val="000000"/>
          <w:lang w:eastAsia="fr-FR"/>
        </w:rPr>
        <w:br/>
        <w:t>Les occupants du lotissement ou les propriétaires devront :</w:t>
      </w:r>
    </w:p>
    <w:p w14:paraId="2A57C47D" w14:textId="03B23944" w:rsidR="00353FC1" w:rsidRPr="00332DD9" w:rsidRDefault="00353FC1" w:rsidP="00B14F8D">
      <w:pPr>
        <w:spacing w:after="0" w:line="240" w:lineRule="auto"/>
        <w:ind w:left="426"/>
        <w:jc w:val="both"/>
        <w:rPr>
          <w:rFonts w:eastAsia="Times New Roman" w:cstheme="minorHAnsi"/>
          <w:color w:val="000000"/>
          <w:lang w:eastAsia="fr-FR"/>
        </w:rPr>
      </w:pPr>
      <w:r w:rsidRPr="00332DD9">
        <w:rPr>
          <w:rFonts w:eastAsia="Times New Roman" w:cstheme="minorHAnsi"/>
          <w:color w:val="000000"/>
          <w:lang w:eastAsia="fr-FR"/>
        </w:rPr>
        <w:t xml:space="preserve">- </w:t>
      </w:r>
      <w:r w:rsidR="006C098B" w:rsidRPr="00332DD9">
        <w:rPr>
          <w:rFonts w:eastAsia="Times New Roman" w:cstheme="minorHAnsi"/>
          <w:color w:val="000000"/>
          <w:lang w:eastAsia="fr-FR"/>
        </w:rPr>
        <w:t>Procéder à l’élagage des haies et des arbres en temps utile.</w:t>
      </w:r>
    </w:p>
    <w:p w14:paraId="55959339" w14:textId="77777777" w:rsidR="00353FC1" w:rsidRPr="00332DD9" w:rsidRDefault="006C098B" w:rsidP="00353FC1">
      <w:pPr>
        <w:pStyle w:val="Paragraphedeliste"/>
        <w:numPr>
          <w:ilvl w:val="0"/>
          <w:numId w:val="3"/>
        </w:numPr>
        <w:spacing w:after="0" w:line="240" w:lineRule="auto"/>
        <w:jc w:val="both"/>
        <w:rPr>
          <w:rFonts w:eastAsia="Times New Roman" w:cstheme="minorHAnsi"/>
          <w:color w:val="000000"/>
          <w:lang w:eastAsia="fr-FR"/>
        </w:rPr>
      </w:pPr>
      <w:r w:rsidRPr="00332DD9">
        <w:rPr>
          <w:rFonts w:eastAsia="Times New Roman" w:cstheme="minorHAnsi"/>
          <w:color w:val="000000"/>
          <w:lang w:eastAsia="fr-FR"/>
        </w:rPr>
        <w:t>Ne pas faire de dépôt de matériaux, ordures ou autres sur les lots, les voies et les parties communes. Seuls les matériaux de construction en cours d’utilisation peuvent être déposés sur le terrain des lots concernés, mais en aucun cas sur la voie desservant le lotissement.</w:t>
      </w:r>
    </w:p>
    <w:p w14:paraId="433F6A8E" w14:textId="77777777" w:rsidR="00353FC1" w:rsidRPr="00332DD9" w:rsidRDefault="006C098B" w:rsidP="00B95D8B">
      <w:pPr>
        <w:pStyle w:val="Paragraphedeliste"/>
        <w:rPr>
          <w:rFonts w:eastAsia="Times New Roman" w:cstheme="minorHAnsi"/>
          <w:color w:val="000000"/>
          <w:lang w:eastAsia="fr-FR"/>
        </w:rPr>
      </w:pPr>
      <w:r w:rsidRPr="00332DD9">
        <w:rPr>
          <w:rFonts w:eastAsia="Times New Roman" w:cstheme="minorHAnsi"/>
          <w:color w:val="000000"/>
          <w:lang w:eastAsia="fr-FR"/>
        </w:rPr>
        <w:t>Ne pas modifier l’écoulement des eaux de ruissellement, obstruer même partiellement et temporairement les caniveaux de la voie.</w:t>
      </w:r>
    </w:p>
    <w:p w14:paraId="3DBC0173" w14:textId="19F41111" w:rsidR="006C098B" w:rsidRPr="00332DD9" w:rsidRDefault="006C098B" w:rsidP="00353FC1">
      <w:pPr>
        <w:pStyle w:val="Paragraphedeliste"/>
        <w:numPr>
          <w:ilvl w:val="0"/>
          <w:numId w:val="3"/>
        </w:numPr>
        <w:spacing w:after="0" w:line="240" w:lineRule="auto"/>
        <w:jc w:val="both"/>
        <w:rPr>
          <w:rFonts w:eastAsia="Times New Roman" w:cstheme="minorHAnsi"/>
          <w:color w:val="000000"/>
          <w:lang w:eastAsia="fr-FR"/>
        </w:rPr>
      </w:pPr>
      <w:r w:rsidRPr="00332DD9">
        <w:rPr>
          <w:rFonts w:eastAsia="Times New Roman" w:cstheme="minorHAnsi"/>
          <w:color w:val="000000"/>
          <w:lang w:eastAsia="fr-FR"/>
        </w:rPr>
        <w:t>Ne pas ouvrir sur le terrain de voies autres que celle prévues au plan masse du lotissement.</w:t>
      </w:r>
    </w:p>
    <w:p w14:paraId="2E553D60" w14:textId="17205070" w:rsidR="00263CF7" w:rsidRPr="00263CF7" w:rsidRDefault="00263CF7" w:rsidP="003B5E5A">
      <w:pPr>
        <w:spacing w:after="0" w:line="240" w:lineRule="auto"/>
        <w:jc w:val="both"/>
        <w:rPr>
          <w:rFonts w:eastAsia="Times New Roman" w:cstheme="minorHAnsi"/>
          <w:color w:val="FF0000"/>
          <w:u w:val="single"/>
          <w:lang w:eastAsia="fr-FR"/>
        </w:rPr>
      </w:pPr>
    </w:p>
    <w:p w14:paraId="528AF4D0" w14:textId="723868F5" w:rsidR="0007770E" w:rsidRPr="00B1271E" w:rsidRDefault="00B1271E" w:rsidP="003B5E5A">
      <w:pPr>
        <w:spacing w:after="0" w:line="240" w:lineRule="auto"/>
        <w:jc w:val="both"/>
      </w:pPr>
      <w:r w:rsidRPr="00B1271E">
        <w:rPr>
          <w:u w:val="single"/>
        </w:rPr>
        <w:t>ANNEXE N°1</w:t>
      </w:r>
      <w:r w:rsidR="0007770E" w:rsidRPr="00B1271E">
        <w:t xml:space="preserve"> : </w:t>
      </w:r>
      <w:r w:rsidRPr="00B1271E">
        <w:t>P</w:t>
      </w:r>
      <w:r w:rsidR="0007770E" w:rsidRPr="00B1271E">
        <w:t>lan</w:t>
      </w:r>
      <w:r w:rsidR="002877CB">
        <w:t>s</w:t>
      </w:r>
      <w:r w:rsidR="0007770E" w:rsidRPr="00B1271E">
        <w:t xml:space="preserve"> du lotissement</w:t>
      </w:r>
      <w:r w:rsidR="00CA5D36">
        <w:t xml:space="preserve"> avec l</w:t>
      </w:r>
      <w:r w:rsidR="00CA5D36" w:rsidRPr="00176484">
        <w:t>imite de la zone 1AU en vertu du Plan Local d’Urbanisme</w:t>
      </w:r>
      <w:r w:rsidR="00CA5D36">
        <w:t xml:space="preserve"> et branchements réseaux.</w:t>
      </w:r>
    </w:p>
    <w:p w14:paraId="2DC88EB4" w14:textId="3532218A" w:rsidR="00997EB7" w:rsidRDefault="00B1271E" w:rsidP="003B5E5A">
      <w:pPr>
        <w:spacing w:after="0" w:line="240" w:lineRule="auto"/>
        <w:jc w:val="both"/>
      </w:pPr>
      <w:r w:rsidRPr="00B1271E">
        <w:rPr>
          <w:u w:val="single"/>
        </w:rPr>
        <w:t>ANNEXE</w:t>
      </w:r>
      <w:r w:rsidR="00997EB7" w:rsidRPr="00B1271E">
        <w:rPr>
          <w:u w:val="single"/>
        </w:rPr>
        <w:t xml:space="preserve"> </w:t>
      </w:r>
      <w:r w:rsidRPr="00B1271E">
        <w:rPr>
          <w:u w:val="single"/>
        </w:rPr>
        <w:t>N</w:t>
      </w:r>
      <w:r w:rsidR="00997EB7" w:rsidRPr="00B1271E">
        <w:rPr>
          <w:u w:val="single"/>
        </w:rPr>
        <w:t>°</w:t>
      </w:r>
      <w:r w:rsidR="00CA5D36">
        <w:rPr>
          <w:u w:val="single"/>
        </w:rPr>
        <w:t>2</w:t>
      </w:r>
      <w:r w:rsidR="00997EB7" w:rsidRPr="00B1271E">
        <w:t xml:space="preserve"> : </w:t>
      </w:r>
      <w:r w:rsidRPr="00B1271E">
        <w:t>S</w:t>
      </w:r>
      <w:r w:rsidR="00997EB7" w:rsidRPr="00B1271E">
        <w:t xml:space="preserve">chéma de principe </w:t>
      </w:r>
      <w:r w:rsidR="006A59C6" w:rsidRPr="00B1271E">
        <w:t xml:space="preserve">à respecter pour le </w:t>
      </w:r>
      <w:r w:rsidR="00997EB7" w:rsidRPr="00B1271E">
        <w:t xml:space="preserve">traitement des eaux pluviales résiduelles. </w:t>
      </w:r>
    </w:p>
    <w:p w14:paraId="4D22576F" w14:textId="77777777" w:rsidR="00524845" w:rsidRPr="00176484" w:rsidRDefault="00524845" w:rsidP="003B5E5A">
      <w:pPr>
        <w:spacing w:after="0" w:line="240" w:lineRule="auto"/>
        <w:jc w:val="both"/>
      </w:pPr>
    </w:p>
    <w:p w14:paraId="64C1330A" w14:textId="3424155B" w:rsidR="00524845" w:rsidRPr="00176484" w:rsidRDefault="00524845" w:rsidP="00524845">
      <w:pPr>
        <w:spacing w:after="0" w:line="240" w:lineRule="auto"/>
        <w:jc w:val="right"/>
        <w:rPr>
          <w:i/>
          <w:iCs/>
        </w:rPr>
      </w:pPr>
      <w:r w:rsidRPr="00176484">
        <w:rPr>
          <w:i/>
          <w:iCs/>
        </w:rPr>
        <w:t xml:space="preserve">Lu et approuvé, </w:t>
      </w:r>
    </w:p>
    <w:p w14:paraId="6754259D" w14:textId="1CBC0957" w:rsidR="00524845" w:rsidRPr="00176484" w:rsidRDefault="00524845" w:rsidP="00524845">
      <w:pPr>
        <w:spacing w:after="0" w:line="240" w:lineRule="auto"/>
        <w:jc w:val="right"/>
        <w:rPr>
          <w:i/>
          <w:iCs/>
        </w:rPr>
      </w:pPr>
      <w:r w:rsidRPr="00176484">
        <w:rPr>
          <w:i/>
          <w:iCs/>
        </w:rPr>
        <w:t>A …………………………………………,</w:t>
      </w:r>
    </w:p>
    <w:p w14:paraId="30B24DEA" w14:textId="6F3801D2" w:rsidR="00524845" w:rsidRPr="00176484" w:rsidRDefault="00524845" w:rsidP="00524845">
      <w:pPr>
        <w:spacing w:after="0" w:line="240" w:lineRule="auto"/>
        <w:jc w:val="right"/>
        <w:rPr>
          <w:i/>
          <w:iCs/>
        </w:rPr>
      </w:pPr>
      <w:r w:rsidRPr="00176484">
        <w:rPr>
          <w:i/>
          <w:iCs/>
        </w:rPr>
        <w:t>Le …………………………</w:t>
      </w:r>
      <w:proofErr w:type="gramStart"/>
      <w:r w:rsidRPr="00176484">
        <w:rPr>
          <w:i/>
          <w:iCs/>
        </w:rPr>
        <w:t>…….</w:t>
      </w:r>
      <w:proofErr w:type="gramEnd"/>
      <w:r w:rsidRPr="00176484">
        <w:rPr>
          <w:i/>
          <w:iCs/>
        </w:rPr>
        <w:t>.……….,</w:t>
      </w:r>
    </w:p>
    <w:p w14:paraId="04D479C7" w14:textId="66507931" w:rsidR="00524845" w:rsidRPr="00176484" w:rsidRDefault="00524845" w:rsidP="00524845">
      <w:pPr>
        <w:spacing w:after="0" w:line="240" w:lineRule="auto"/>
        <w:jc w:val="right"/>
        <w:rPr>
          <w:i/>
          <w:iCs/>
        </w:rPr>
      </w:pPr>
    </w:p>
    <w:p w14:paraId="38464BF4" w14:textId="22ED7166" w:rsidR="00524845" w:rsidRPr="00B1271E" w:rsidRDefault="00524845" w:rsidP="00524845">
      <w:pPr>
        <w:spacing w:after="0" w:line="240" w:lineRule="auto"/>
        <w:jc w:val="right"/>
      </w:pPr>
      <w:r w:rsidRPr="00176484">
        <w:rPr>
          <w:i/>
          <w:iCs/>
        </w:rPr>
        <w:t>Noms prénoms du ou des candidat</w:t>
      </w:r>
      <w:r w:rsidR="00E93A49">
        <w:rPr>
          <w:i/>
          <w:iCs/>
        </w:rPr>
        <w:t>(</w:t>
      </w:r>
      <w:r w:rsidRPr="00176484">
        <w:rPr>
          <w:i/>
          <w:iCs/>
        </w:rPr>
        <w:t>s</w:t>
      </w:r>
      <w:r w:rsidR="00E93A49">
        <w:rPr>
          <w:i/>
          <w:iCs/>
        </w:rPr>
        <w:t>)</w:t>
      </w:r>
      <w:r w:rsidRPr="00176484">
        <w:rPr>
          <w:i/>
          <w:iCs/>
        </w:rPr>
        <w:t xml:space="preserve"> acquéreur</w:t>
      </w:r>
      <w:r w:rsidR="00E93A49">
        <w:rPr>
          <w:i/>
          <w:iCs/>
        </w:rPr>
        <w:t>(</w:t>
      </w:r>
      <w:r w:rsidRPr="00176484">
        <w:rPr>
          <w:i/>
          <w:iCs/>
        </w:rPr>
        <w:t>s</w:t>
      </w:r>
      <w:r w:rsidR="00E93A49">
        <w:rPr>
          <w:i/>
          <w:iCs/>
        </w:rPr>
        <w:t>)</w:t>
      </w:r>
    </w:p>
    <w:sectPr w:rsidR="00524845" w:rsidRPr="00B127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727C" w14:textId="77777777" w:rsidR="00E274A4" w:rsidRDefault="00E274A4" w:rsidP="00E274A4">
      <w:pPr>
        <w:spacing w:after="0" w:line="240" w:lineRule="auto"/>
      </w:pPr>
      <w:r>
        <w:separator/>
      </w:r>
    </w:p>
  </w:endnote>
  <w:endnote w:type="continuationSeparator" w:id="0">
    <w:p w14:paraId="199A166F" w14:textId="77777777" w:rsidR="00E274A4" w:rsidRDefault="00E274A4" w:rsidP="00E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66745"/>
      <w:docPartObj>
        <w:docPartGallery w:val="Page Numbers (Bottom of Page)"/>
        <w:docPartUnique/>
      </w:docPartObj>
    </w:sdtPr>
    <w:sdtEndPr/>
    <w:sdtContent>
      <w:p w14:paraId="6061C724" w14:textId="0C8A4B89" w:rsidR="00E274A4" w:rsidRDefault="00E274A4">
        <w:pPr>
          <w:pStyle w:val="Pieddepage"/>
        </w:pPr>
        <w:r>
          <w:rPr>
            <w:noProof/>
          </w:rPr>
          <mc:AlternateContent>
            <mc:Choice Requires="wps">
              <w:drawing>
                <wp:anchor distT="0" distB="0" distL="114300" distR="114300" simplePos="0" relativeHeight="251659264" behindDoc="0" locked="0" layoutInCell="0" allowOverlap="1" wp14:anchorId="526F50B5" wp14:editId="73673455">
                  <wp:simplePos x="0" y="0"/>
                  <wp:positionH relativeFrom="rightMargin">
                    <wp:posOffset>6985</wp:posOffset>
                  </wp:positionH>
                  <wp:positionV relativeFrom="bottomMargin">
                    <wp:posOffset>75565</wp:posOffset>
                  </wp:positionV>
                  <wp:extent cx="368300" cy="323850"/>
                  <wp:effectExtent l="0" t="0" r="12700" b="1905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3850"/>
                          </a:xfrm>
                          <a:prstGeom prst="foldedCorner">
                            <a:avLst>
                              <a:gd name="adj" fmla="val 34560"/>
                            </a:avLst>
                          </a:prstGeom>
                          <a:solidFill>
                            <a:srgbClr val="FFFFFF"/>
                          </a:solidFill>
                          <a:ln w="3175">
                            <a:solidFill>
                              <a:srgbClr val="808080"/>
                            </a:solidFill>
                            <a:round/>
                            <a:headEnd/>
                            <a:tailEnd/>
                          </a:ln>
                        </wps:spPr>
                        <wps:txbx>
                          <w:txbxContent>
                            <w:p w14:paraId="137812E3" w14:textId="56098D8F" w:rsidR="00E274A4" w:rsidRDefault="00E274A4">
                              <w:pPr>
                                <w:jc w:val="center"/>
                              </w:pPr>
                              <w:r>
                                <w:fldChar w:fldCharType="begin"/>
                              </w:r>
                              <w:r>
                                <w:instrText>PAGE    \* MERGEFORMAT</w:instrText>
                              </w:r>
                              <w:r>
                                <w:fldChar w:fldCharType="separate"/>
                              </w:r>
                              <w:r>
                                <w:rPr>
                                  <w:sz w:val="16"/>
                                  <w:szCs w:val="16"/>
                                </w:rPr>
                                <w:t>2</w:t>
                              </w:r>
                              <w:r>
                                <w:rPr>
                                  <w:sz w:val="16"/>
                                  <w:szCs w:val="16"/>
                                </w:rPr>
                                <w:fldChar w:fldCharType="end"/>
                              </w:r>
                              <w:r>
                                <w:rPr>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F50B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55pt;margin-top:5.95pt;width:29pt;height:25.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" o:allowincell="f" adj="14135" strokecolor="gray" strokeweight=".25pt">
                  <v:textbox>
                    <w:txbxContent>
                      <w:p w14:paraId="137812E3" w14:textId="56098D8F" w:rsidR="00E274A4" w:rsidRDefault="00E274A4">
                        <w:pPr>
                          <w:jc w:val="center"/>
                        </w:pPr>
                        <w:r>
                          <w:fldChar w:fldCharType="begin"/>
                        </w:r>
                        <w:r>
                          <w:instrText>PAGE    \* MERGEFORMAT</w:instrText>
                        </w:r>
                        <w:r>
                          <w:fldChar w:fldCharType="separate"/>
                        </w:r>
                        <w:r>
                          <w:rPr>
                            <w:sz w:val="16"/>
                            <w:szCs w:val="16"/>
                          </w:rPr>
                          <w:t>2</w:t>
                        </w:r>
                        <w:r>
                          <w:rPr>
                            <w:sz w:val="16"/>
                            <w:szCs w:val="16"/>
                          </w:rPr>
                          <w:fldChar w:fldCharType="end"/>
                        </w:r>
                        <w:r>
                          <w:rPr>
                            <w:sz w:val="16"/>
                            <w:szCs w:val="16"/>
                          </w:rPr>
                          <w:t>/5</w:t>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ADFE" w14:textId="77777777" w:rsidR="00E274A4" w:rsidRDefault="00E274A4" w:rsidP="00E274A4">
      <w:pPr>
        <w:spacing w:after="0" w:line="240" w:lineRule="auto"/>
      </w:pPr>
      <w:r>
        <w:separator/>
      </w:r>
    </w:p>
  </w:footnote>
  <w:footnote w:type="continuationSeparator" w:id="0">
    <w:p w14:paraId="7D026960" w14:textId="77777777" w:rsidR="00E274A4" w:rsidRDefault="00E274A4" w:rsidP="00E2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368"/>
    <w:multiLevelType w:val="hybridMultilevel"/>
    <w:tmpl w:val="F2BCA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56806"/>
    <w:multiLevelType w:val="hybridMultilevel"/>
    <w:tmpl w:val="0F405E0C"/>
    <w:lvl w:ilvl="0" w:tplc="2AE853A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F30FC3"/>
    <w:multiLevelType w:val="hybridMultilevel"/>
    <w:tmpl w:val="471EC8DA"/>
    <w:lvl w:ilvl="0" w:tplc="49A47C8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6729519">
    <w:abstractNumId w:val="2"/>
  </w:num>
  <w:num w:numId="2" w16cid:durableId="987633038">
    <w:abstractNumId w:val="0"/>
  </w:num>
  <w:num w:numId="3" w16cid:durableId="831338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08"/>
    <w:rsid w:val="00003413"/>
    <w:rsid w:val="00045064"/>
    <w:rsid w:val="0004546D"/>
    <w:rsid w:val="00053D3C"/>
    <w:rsid w:val="00054126"/>
    <w:rsid w:val="00056F93"/>
    <w:rsid w:val="00066188"/>
    <w:rsid w:val="0007770E"/>
    <w:rsid w:val="0008152D"/>
    <w:rsid w:val="000902DD"/>
    <w:rsid w:val="000A0287"/>
    <w:rsid w:val="000A4B2A"/>
    <w:rsid w:val="000C53A9"/>
    <w:rsid w:val="000C6BFC"/>
    <w:rsid w:val="000D3081"/>
    <w:rsid w:val="000D36AA"/>
    <w:rsid w:val="0010030B"/>
    <w:rsid w:val="00105C82"/>
    <w:rsid w:val="00126351"/>
    <w:rsid w:val="00131F29"/>
    <w:rsid w:val="001348F2"/>
    <w:rsid w:val="00146F47"/>
    <w:rsid w:val="00151C2F"/>
    <w:rsid w:val="00155E2D"/>
    <w:rsid w:val="00176484"/>
    <w:rsid w:val="00182429"/>
    <w:rsid w:val="001B0EB5"/>
    <w:rsid w:val="001B1F84"/>
    <w:rsid w:val="001C3514"/>
    <w:rsid w:val="001C4C24"/>
    <w:rsid w:val="001D03CC"/>
    <w:rsid w:val="001D426C"/>
    <w:rsid w:val="001D4A02"/>
    <w:rsid w:val="001D5BBE"/>
    <w:rsid w:val="001F3F00"/>
    <w:rsid w:val="001F4EFC"/>
    <w:rsid w:val="001F560B"/>
    <w:rsid w:val="001F78CE"/>
    <w:rsid w:val="002007F2"/>
    <w:rsid w:val="00225C89"/>
    <w:rsid w:val="0023490C"/>
    <w:rsid w:val="00234C77"/>
    <w:rsid w:val="00237153"/>
    <w:rsid w:val="00255CEF"/>
    <w:rsid w:val="00263CF7"/>
    <w:rsid w:val="002748A9"/>
    <w:rsid w:val="0027519D"/>
    <w:rsid w:val="0028509D"/>
    <w:rsid w:val="002871E6"/>
    <w:rsid w:val="002877CB"/>
    <w:rsid w:val="00292193"/>
    <w:rsid w:val="00292234"/>
    <w:rsid w:val="002A34C9"/>
    <w:rsid w:val="002B7FD5"/>
    <w:rsid w:val="002D0AC1"/>
    <w:rsid w:val="002D36A6"/>
    <w:rsid w:val="002E1D62"/>
    <w:rsid w:val="002F3337"/>
    <w:rsid w:val="002F4416"/>
    <w:rsid w:val="0030380C"/>
    <w:rsid w:val="00305DA1"/>
    <w:rsid w:val="00321753"/>
    <w:rsid w:val="00332DD9"/>
    <w:rsid w:val="00344FAC"/>
    <w:rsid w:val="00353FC1"/>
    <w:rsid w:val="0035537E"/>
    <w:rsid w:val="003566ED"/>
    <w:rsid w:val="00370AA9"/>
    <w:rsid w:val="00376721"/>
    <w:rsid w:val="00376EE9"/>
    <w:rsid w:val="00385280"/>
    <w:rsid w:val="003975EA"/>
    <w:rsid w:val="003A0EE2"/>
    <w:rsid w:val="003A3630"/>
    <w:rsid w:val="003B4FAF"/>
    <w:rsid w:val="003B5E5A"/>
    <w:rsid w:val="003B6DDA"/>
    <w:rsid w:val="003C479D"/>
    <w:rsid w:val="003C5B9E"/>
    <w:rsid w:val="003D0D7F"/>
    <w:rsid w:val="003D6B45"/>
    <w:rsid w:val="003E5B2D"/>
    <w:rsid w:val="003F5CC0"/>
    <w:rsid w:val="004033DC"/>
    <w:rsid w:val="0040412A"/>
    <w:rsid w:val="00406B5F"/>
    <w:rsid w:val="00410C46"/>
    <w:rsid w:val="004200FD"/>
    <w:rsid w:val="004228A7"/>
    <w:rsid w:val="004303A6"/>
    <w:rsid w:val="004325C2"/>
    <w:rsid w:val="00432947"/>
    <w:rsid w:val="0043509B"/>
    <w:rsid w:val="00435D6D"/>
    <w:rsid w:val="0043639C"/>
    <w:rsid w:val="00436BE1"/>
    <w:rsid w:val="00447294"/>
    <w:rsid w:val="0045574E"/>
    <w:rsid w:val="00460A58"/>
    <w:rsid w:val="004631B6"/>
    <w:rsid w:val="00466E08"/>
    <w:rsid w:val="0049270E"/>
    <w:rsid w:val="004C06F0"/>
    <w:rsid w:val="004C1769"/>
    <w:rsid w:val="004C4792"/>
    <w:rsid w:val="004D1D31"/>
    <w:rsid w:val="004E3BC3"/>
    <w:rsid w:val="004E6BFF"/>
    <w:rsid w:val="004F5358"/>
    <w:rsid w:val="004F5E36"/>
    <w:rsid w:val="005136B5"/>
    <w:rsid w:val="00516C7D"/>
    <w:rsid w:val="00524845"/>
    <w:rsid w:val="0053765B"/>
    <w:rsid w:val="00546D08"/>
    <w:rsid w:val="00550526"/>
    <w:rsid w:val="0055542B"/>
    <w:rsid w:val="005561A0"/>
    <w:rsid w:val="00567DE2"/>
    <w:rsid w:val="00571BC0"/>
    <w:rsid w:val="00573A37"/>
    <w:rsid w:val="005758BE"/>
    <w:rsid w:val="005769BA"/>
    <w:rsid w:val="00583FBB"/>
    <w:rsid w:val="005840BF"/>
    <w:rsid w:val="00584576"/>
    <w:rsid w:val="00590161"/>
    <w:rsid w:val="005B6FEA"/>
    <w:rsid w:val="005C7428"/>
    <w:rsid w:val="005D49CA"/>
    <w:rsid w:val="005E0D75"/>
    <w:rsid w:val="005E7504"/>
    <w:rsid w:val="005F4275"/>
    <w:rsid w:val="005F4A34"/>
    <w:rsid w:val="00601FA5"/>
    <w:rsid w:val="00602D85"/>
    <w:rsid w:val="006100EA"/>
    <w:rsid w:val="006103C3"/>
    <w:rsid w:val="00631A37"/>
    <w:rsid w:val="00634B1F"/>
    <w:rsid w:val="006568E8"/>
    <w:rsid w:val="0066749C"/>
    <w:rsid w:val="00671CB0"/>
    <w:rsid w:val="00673A01"/>
    <w:rsid w:val="006768D4"/>
    <w:rsid w:val="00692238"/>
    <w:rsid w:val="006A125F"/>
    <w:rsid w:val="006A59C6"/>
    <w:rsid w:val="006B2B08"/>
    <w:rsid w:val="006C098B"/>
    <w:rsid w:val="006D4392"/>
    <w:rsid w:val="006E5BEC"/>
    <w:rsid w:val="006F1BF3"/>
    <w:rsid w:val="006F48F2"/>
    <w:rsid w:val="006F7448"/>
    <w:rsid w:val="00710DA8"/>
    <w:rsid w:val="007150C8"/>
    <w:rsid w:val="00762973"/>
    <w:rsid w:val="007645AA"/>
    <w:rsid w:val="007662B9"/>
    <w:rsid w:val="007A0A12"/>
    <w:rsid w:val="007A31C3"/>
    <w:rsid w:val="007B609A"/>
    <w:rsid w:val="007C1AC1"/>
    <w:rsid w:val="007C67BF"/>
    <w:rsid w:val="007E19F7"/>
    <w:rsid w:val="00802B8B"/>
    <w:rsid w:val="00812491"/>
    <w:rsid w:val="00817D62"/>
    <w:rsid w:val="008332F2"/>
    <w:rsid w:val="00840263"/>
    <w:rsid w:val="0085797C"/>
    <w:rsid w:val="00861759"/>
    <w:rsid w:val="00862E98"/>
    <w:rsid w:val="00893C91"/>
    <w:rsid w:val="0089794B"/>
    <w:rsid w:val="00897AE3"/>
    <w:rsid w:val="008A5777"/>
    <w:rsid w:val="008B29C6"/>
    <w:rsid w:val="008B39F7"/>
    <w:rsid w:val="008B5532"/>
    <w:rsid w:val="008B78BD"/>
    <w:rsid w:val="008C16B2"/>
    <w:rsid w:val="008D06AC"/>
    <w:rsid w:val="008D6108"/>
    <w:rsid w:val="008E717E"/>
    <w:rsid w:val="008F5DE5"/>
    <w:rsid w:val="00900F35"/>
    <w:rsid w:val="00911144"/>
    <w:rsid w:val="00950C75"/>
    <w:rsid w:val="009800D6"/>
    <w:rsid w:val="0098132E"/>
    <w:rsid w:val="00992C46"/>
    <w:rsid w:val="009953F0"/>
    <w:rsid w:val="00997CD3"/>
    <w:rsid w:val="00997EB7"/>
    <w:rsid w:val="009C4E65"/>
    <w:rsid w:val="009D3DB1"/>
    <w:rsid w:val="009D47C7"/>
    <w:rsid w:val="009F7AF2"/>
    <w:rsid w:val="00A02CA5"/>
    <w:rsid w:val="00A038AD"/>
    <w:rsid w:val="00A10CB2"/>
    <w:rsid w:val="00A133E9"/>
    <w:rsid w:val="00A13E6B"/>
    <w:rsid w:val="00A15CC8"/>
    <w:rsid w:val="00A23F57"/>
    <w:rsid w:val="00A371E5"/>
    <w:rsid w:val="00A4064F"/>
    <w:rsid w:val="00A533C0"/>
    <w:rsid w:val="00A54FAD"/>
    <w:rsid w:val="00A608D1"/>
    <w:rsid w:val="00A814E8"/>
    <w:rsid w:val="00A82F6F"/>
    <w:rsid w:val="00A9101A"/>
    <w:rsid w:val="00A94924"/>
    <w:rsid w:val="00A96C4B"/>
    <w:rsid w:val="00AA275C"/>
    <w:rsid w:val="00AA32D1"/>
    <w:rsid w:val="00AA6941"/>
    <w:rsid w:val="00AA7847"/>
    <w:rsid w:val="00AB2F66"/>
    <w:rsid w:val="00AB4006"/>
    <w:rsid w:val="00AB581A"/>
    <w:rsid w:val="00AC0D02"/>
    <w:rsid w:val="00AC4621"/>
    <w:rsid w:val="00AD01D9"/>
    <w:rsid w:val="00AD49E5"/>
    <w:rsid w:val="00B05AD0"/>
    <w:rsid w:val="00B1271E"/>
    <w:rsid w:val="00B14F8D"/>
    <w:rsid w:val="00B352D1"/>
    <w:rsid w:val="00B37295"/>
    <w:rsid w:val="00B37822"/>
    <w:rsid w:val="00B41F56"/>
    <w:rsid w:val="00B46F0F"/>
    <w:rsid w:val="00B571A9"/>
    <w:rsid w:val="00B721F3"/>
    <w:rsid w:val="00B905FC"/>
    <w:rsid w:val="00B933EF"/>
    <w:rsid w:val="00B95D8B"/>
    <w:rsid w:val="00BA2B3A"/>
    <w:rsid w:val="00BB3DF0"/>
    <w:rsid w:val="00BD2A73"/>
    <w:rsid w:val="00C33ADA"/>
    <w:rsid w:val="00C528CE"/>
    <w:rsid w:val="00C53471"/>
    <w:rsid w:val="00C540AB"/>
    <w:rsid w:val="00C5720C"/>
    <w:rsid w:val="00C71B8E"/>
    <w:rsid w:val="00C93092"/>
    <w:rsid w:val="00CA5D36"/>
    <w:rsid w:val="00CA6B07"/>
    <w:rsid w:val="00CC3440"/>
    <w:rsid w:val="00CD0551"/>
    <w:rsid w:val="00CD0BD6"/>
    <w:rsid w:val="00CE3706"/>
    <w:rsid w:val="00CF0E4F"/>
    <w:rsid w:val="00CF4606"/>
    <w:rsid w:val="00CF5ABA"/>
    <w:rsid w:val="00D01A20"/>
    <w:rsid w:val="00D10B3E"/>
    <w:rsid w:val="00D23AD3"/>
    <w:rsid w:val="00D31883"/>
    <w:rsid w:val="00D33C58"/>
    <w:rsid w:val="00D421AA"/>
    <w:rsid w:val="00D5059F"/>
    <w:rsid w:val="00D578C1"/>
    <w:rsid w:val="00D74014"/>
    <w:rsid w:val="00D74E94"/>
    <w:rsid w:val="00D84931"/>
    <w:rsid w:val="00D87A96"/>
    <w:rsid w:val="00D95A10"/>
    <w:rsid w:val="00DA03AC"/>
    <w:rsid w:val="00DB18F9"/>
    <w:rsid w:val="00DB4766"/>
    <w:rsid w:val="00DD7678"/>
    <w:rsid w:val="00DF29A4"/>
    <w:rsid w:val="00DF2E51"/>
    <w:rsid w:val="00DF52F5"/>
    <w:rsid w:val="00DF6717"/>
    <w:rsid w:val="00E01525"/>
    <w:rsid w:val="00E12367"/>
    <w:rsid w:val="00E127EC"/>
    <w:rsid w:val="00E14384"/>
    <w:rsid w:val="00E15134"/>
    <w:rsid w:val="00E1677E"/>
    <w:rsid w:val="00E17E22"/>
    <w:rsid w:val="00E21413"/>
    <w:rsid w:val="00E274A4"/>
    <w:rsid w:val="00E3575C"/>
    <w:rsid w:val="00E405BD"/>
    <w:rsid w:val="00E53E85"/>
    <w:rsid w:val="00E619A4"/>
    <w:rsid w:val="00E86522"/>
    <w:rsid w:val="00E910B3"/>
    <w:rsid w:val="00E9238D"/>
    <w:rsid w:val="00E93A49"/>
    <w:rsid w:val="00E96C88"/>
    <w:rsid w:val="00E971B1"/>
    <w:rsid w:val="00EB217A"/>
    <w:rsid w:val="00EB7CEF"/>
    <w:rsid w:val="00EC63C0"/>
    <w:rsid w:val="00EF7F21"/>
    <w:rsid w:val="00F01A2E"/>
    <w:rsid w:val="00F12031"/>
    <w:rsid w:val="00F1305B"/>
    <w:rsid w:val="00F22699"/>
    <w:rsid w:val="00F24B1C"/>
    <w:rsid w:val="00F26427"/>
    <w:rsid w:val="00F32D7E"/>
    <w:rsid w:val="00F347ED"/>
    <w:rsid w:val="00F371C9"/>
    <w:rsid w:val="00F863B2"/>
    <w:rsid w:val="00F90FB1"/>
    <w:rsid w:val="00FA53B4"/>
    <w:rsid w:val="00FB2308"/>
    <w:rsid w:val="00FC68C4"/>
    <w:rsid w:val="00FD7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8E1C85"/>
  <w15:chartTrackingRefBased/>
  <w15:docId w15:val="{BBEA6740-3135-45EC-ACF8-4CC0277E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C09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C09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098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C098B"/>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6C098B"/>
    <w:rPr>
      <w:b/>
      <w:bCs/>
    </w:rPr>
  </w:style>
  <w:style w:type="paragraph" w:styleId="Paragraphedeliste">
    <w:name w:val="List Paragraph"/>
    <w:basedOn w:val="Normal"/>
    <w:uiPriority w:val="34"/>
    <w:qFormat/>
    <w:rsid w:val="00E127EC"/>
    <w:pPr>
      <w:ind w:left="720"/>
      <w:contextualSpacing/>
    </w:pPr>
  </w:style>
  <w:style w:type="table" w:styleId="Grilledutableau">
    <w:name w:val="Table Grid"/>
    <w:basedOn w:val="TableauNormal"/>
    <w:uiPriority w:val="39"/>
    <w:rsid w:val="005C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274A4"/>
    <w:pPr>
      <w:tabs>
        <w:tab w:val="center" w:pos="4536"/>
        <w:tab w:val="right" w:pos="9072"/>
      </w:tabs>
      <w:spacing w:after="0" w:line="240" w:lineRule="auto"/>
    </w:pPr>
  </w:style>
  <w:style w:type="character" w:customStyle="1" w:styleId="En-tteCar">
    <w:name w:val="En-tête Car"/>
    <w:basedOn w:val="Policepardfaut"/>
    <w:link w:val="En-tte"/>
    <w:uiPriority w:val="99"/>
    <w:rsid w:val="00E274A4"/>
  </w:style>
  <w:style w:type="paragraph" w:styleId="Pieddepage">
    <w:name w:val="footer"/>
    <w:basedOn w:val="Normal"/>
    <w:link w:val="PieddepageCar"/>
    <w:uiPriority w:val="99"/>
    <w:unhideWhenUsed/>
    <w:rsid w:val="00E27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942">
      <w:bodyDiv w:val="1"/>
      <w:marLeft w:val="0"/>
      <w:marRight w:val="0"/>
      <w:marTop w:val="0"/>
      <w:marBottom w:val="0"/>
      <w:divBdr>
        <w:top w:val="none" w:sz="0" w:space="0" w:color="auto"/>
        <w:left w:val="none" w:sz="0" w:space="0" w:color="auto"/>
        <w:bottom w:val="none" w:sz="0" w:space="0" w:color="auto"/>
        <w:right w:val="none" w:sz="0" w:space="0" w:color="auto"/>
      </w:divBdr>
      <w:divsChild>
        <w:div w:id="1618950631">
          <w:marLeft w:val="300"/>
          <w:marRight w:val="300"/>
          <w:marTop w:val="0"/>
          <w:marBottom w:val="0"/>
          <w:divBdr>
            <w:top w:val="none" w:sz="0" w:space="0" w:color="auto"/>
            <w:left w:val="none" w:sz="0" w:space="0" w:color="auto"/>
            <w:bottom w:val="none" w:sz="0" w:space="0" w:color="auto"/>
            <w:right w:val="none" w:sz="0" w:space="0" w:color="auto"/>
          </w:divBdr>
        </w:div>
        <w:div w:id="2050912975">
          <w:marLeft w:val="300"/>
          <w:marRight w:val="300"/>
          <w:marTop w:val="0"/>
          <w:marBottom w:val="0"/>
          <w:divBdr>
            <w:top w:val="none" w:sz="0" w:space="0" w:color="auto"/>
            <w:left w:val="none" w:sz="0" w:space="0" w:color="auto"/>
            <w:bottom w:val="none" w:sz="0" w:space="0" w:color="auto"/>
            <w:right w:val="none" w:sz="0" w:space="0" w:color="auto"/>
          </w:divBdr>
        </w:div>
      </w:divsChild>
    </w:div>
    <w:div w:id="346057111">
      <w:bodyDiv w:val="1"/>
      <w:marLeft w:val="0"/>
      <w:marRight w:val="0"/>
      <w:marTop w:val="0"/>
      <w:marBottom w:val="0"/>
      <w:divBdr>
        <w:top w:val="none" w:sz="0" w:space="0" w:color="auto"/>
        <w:left w:val="none" w:sz="0" w:space="0" w:color="auto"/>
        <w:bottom w:val="none" w:sz="0" w:space="0" w:color="auto"/>
        <w:right w:val="none" w:sz="0" w:space="0" w:color="auto"/>
      </w:divBdr>
    </w:div>
    <w:div w:id="837770807">
      <w:bodyDiv w:val="1"/>
      <w:marLeft w:val="0"/>
      <w:marRight w:val="0"/>
      <w:marTop w:val="0"/>
      <w:marBottom w:val="0"/>
      <w:divBdr>
        <w:top w:val="none" w:sz="0" w:space="0" w:color="auto"/>
        <w:left w:val="none" w:sz="0" w:space="0" w:color="auto"/>
        <w:bottom w:val="none" w:sz="0" w:space="0" w:color="auto"/>
        <w:right w:val="none" w:sz="0" w:space="0" w:color="auto"/>
      </w:divBdr>
    </w:div>
    <w:div w:id="11019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5</Pages>
  <Words>1986</Words>
  <Characters>10927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communication</cp:lastModifiedBy>
  <cp:revision>216</cp:revision>
  <cp:lastPrinted>2022-04-12T09:49:00Z</cp:lastPrinted>
  <dcterms:created xsi:type="dcterms:W3CDTF">2021-03-21T19:11:00Z</dcterms:created>
  <dcterms:modified xsi:type="dcterms:W3CDTF">2022-04-12T09:50:00Z</dcterms:modified>
</cp:coreProperties>
</file>